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97" w:rsidRDefault="000D68EE" w:rsidP="005A3C2D">
      <w:pPr>
        <w:jc w:val="center"/>
        <w:rPr>
          <w:noProof/>
          <w:color w:val="1F497D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902961" cy="1828800"/>
            <wp:effectExtent l="0" t="0" r="2540" b="0"/>
            <wp:docPr id="4" name="Image 4" descr="signature_mail_corona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nature_mail_coronavir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132" cy="182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F97" w:rsidRDefault="00C62F97" w:rsidP="00E46A7C">
      <w:pPr>
        <w:jc w:val="both"/>
        <w:rPr>
          <w:noProof/>
          <w:color w:val="1F497D"/>
          <w:lang w:eastAsia="fr-FR"/>
        </w:rPr>
      </w:pPr>
    </w:p>
    <w:p w:rsidR="00C62F97" w:rsidRDefault="007A663A" w:rsidP="007A663A">
      <w:pPr>
        <w:jc w:val="center"/>
        <w:rPr>
          <w:b/>
          <w:color w:val="00B050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1447800" cy="819150"/>
            <wp:effectExtent l="0" t="0" r="0" b="0"/>
            <wp:docPr id="1" name="Image 1" descr="ARS_N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RS_N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63A" w:rsidRPr="00BA4FAC" w:rsidRDefault="007A663A" w:rsidP="007A663A">
      <w:pPr>
        <w:jc w:val="center"/>
        <w:rPr>
          <w:b/>
          <w:color w:val="00B050"/>
          <w:u w:val="single"/>
        </w:rPr>
      </w:pPr>
    </w:p>
    <w:p w:rsidR="00D142BF" w:rsidRPr="00B079E1" w:rsidRDefault="000D68EE" w:rsidP="00D142BF">
      <w:pPr>
        <w:pStyle w:val="Titr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MEMO </w:t>
      </w:r>
      <w:r w:rsidR="001E25C5">
        <w:rPr>
          <w:b/>
          <w:sz w:val="36"/>
          <w:szCs w:val="36"/>
        </w:rPr>
        <w:t>3</w:t>
      </w:r>
      <w:bookmarkStart w:id="0" w:name="_GoBack"/>
      <w:bookmarkEnd w:id="0"/>
      <w:r w:rsidR="007005F3" w:rsidRPr="00B079E1">
        <w:rPr>
          <w:b/>
          <w:sz w:val="36"/>
          <w:szCs w:val="36"/>
        </w:rPr>
        <w:t xml:space="preserve"> – </w:t>
      </w:r>
      <w:r w:rsidR="00D142BF" w:rsidRPr="00B079E1">
        <w:rPr>
          <w:b/>
          <w:sz w:val="36"/>
          <w:szCs w:val="36"/>
        </w:rPr>
        <w:t>MESURES RELATIVES AU COVID-19</w:t>
      </w:r>
    </w:p>
    <w:p w:rsidR="007005F3" w:rsidRPr="00B079E1" w:rsidRDefault="00D142BF" w:rsidP="00D142BF">
      <w:pPr>
        <w:pStyle w:val="Titre"/>
        <w:jc w:val="center"/>
        <w:rPr>
          <w:b/>
          <w:sz w:val="36"/>
          <w:szCs w:val="36"/>
        </w:rPr>
      </w:pPr>
      <w:r w:rsidRPr="00B079E1">
        <w:rPr>
          <w:b/>
          <w:sz w:val="36"/>
          <w:szCs w:val="36"/>
        </w:rPr>
        <w:t>applicables aux</w:t>
      </w:r>
      <w:r w:rsidR="007005F3" w:rsidRPr="00B079E1">
        <w:rPr>
          <w:b/>
          <w:sz w:val="36"/>
          <w:szCs w:val="36"/>
        </w:rPr>
        <w:t xml:space="preserve"> ESMS </w:t>
      </w:r>
      <w:r w:rsidR="000D68EE">
        <w:rPr>
          <w:b/>
          <w:sz w:val="36"/>
          <w:szCs w:val="36"/>
        </w:rPr>
        <w:t>de Nouvelle Aquitaine</w:t>
      </w:r>
    </w:p>
    <w:p w:rsidR="00D86356" w:rsidRPr="00D71AFA" w:rsidRDefault="00D86356" w:rsidP="00BA4FAC">
      <w:pPr>
        <w:jc w:val="center"/>
        <w:rPr>
          <w:rFonts w:asciiTheme="majorHAnsi" w:hAnsiTheme="majorHAnsi"/>
          <w:b/>
          <w:i/>
          <w:color w:val="FF0000"/>
          <w:sz w:val="36"/>
          <w:szCs w:val="36"/>
        </w:rPr>
      </w:pPr>
      <w:r w:rsidRPr="00D71AFA">
        <w:rPr>
          <w:rFonts w:asciiTheme="majorHAnsi" w:hAnsiTheme="majorHAnsi"/>
          <w:b/>
          <w:i/>
          <w:color w:val="FF0000"/>
          <w:sz w:val="36"/>
          <w:szCs w:val="36"/>
        </w:rPr>
        <w:t>POUR MISE EN ŒUVRE SANS DELAI</w:t>
      </w:r>
    </w:p>
    <w:p w:rsidR="00D86356" w:rsidRDefault="00D86356" w:rsidP="00BA4FAC">
      <w:pPr>
        <w:jc w:val="center"/>
        <w:rPr>
          <w:b/>
          <w:color w:val="FF0000"/>
        </w:rPr>
      </w:pPr>
    </w:p>
    <w:p w:rsidR="008F03DD" w:rsidRPr="00580614" w:rsidRDefault="00D142BF" w:rsidP="00BA4FAC">
      <w:pPr>
        <w:jc w:val="center"/>
        <w:rPr>
          <w:b/>
          <w:color w:val="FF0000"/>
        </w:rPr>
      </w:pPr>
      <w:r w:rsidRPr="00580614">
        <w:rPr>
          <w:b/>
          <w:color w:val="FF0000"/>
        </w:rPr>
        <w:t>[</w:t>
      </w:r>
      <w:r w:rsidR="006F4B8A">
        <w:rPr>
          <w:b/>
          <w:color w:val="FF0000"/>
        </w:rPr>
        <w:t>MEMO A DATE DU 11</w:t>
      </w:r>
      <w:r w:rsidR="008F03DD" w:rsidRPr="00580614">
        <w:rPr>
          <w:b/>
          <w:color w:val="FF0000"/>
        </w:rPr>
        <w:t xml:space="preserve"> MARS 2020</w:t>
      </w:r>
      <w:r w:rsidR="00BC79FA">
        <w:rPr>
          <w:b/>
          <w:color w:val="FF0000"/>
        </w:rPr>
        <w:t xml:space="preserve"> – 19</w:t>
      </w:r>
      <w:r w:rsidR="00D71AFA">
        <w:rPr>
          <w:b/>
          <w:color w:val="FF0000"/>
        </w:rPr>
        <w:t>h</w:t>
      </w:r>
      <w:r w:rsidRPr="00580614">
        <w:rPr>
          <w:b/>
          <w:color w:val="FF0000"/>
        </w:rPr>
        <w:t>]</w:t>
      </w:r>
    </w:p>
    <w:p w:rsidR="000D68EE" w:rsidRDefault="000D68EE" w:rsidP="000D68EE">
      <w:pPr>
        <w:jc w:val="both"/>
        <w:rPr>
          <w:b/>
          <w:color w:val="00B050"/>
          <w:u w:val="single"/>
        </w:rPr>
      </w:pPr>
    </w:p>
    <w:p w:rsidR="000D68EE" w:rsidRPr="00D142BF" w:rsidRDefault="006F4B8A" w:rsidP="000D68EE">
      <w:pPr>
        <w:pStyle w:val="Paragraphedeliste"/>
        <w:numPr>
          <w:ilvl w:val="0"/>
          <w:numId w:val="19"/>
        </w:numPr>
        <w:rPr>
          <w:b/>
          <w:i/>
          <w:color w:val="000000" w:themeColor="text1"/>
          <w:u w:val="single"/>
        </w:rPr>
      </w:pPr>
      <w:r>
        <w:rPr>
          <w:b/>
          <w:i/>
          <w:color w:val="000000" w:themeColor="text1"/>
          <w:u w:val="single"/>
        </w:rPr>
        <w:t>Référence : MEMO3</w:t>
      </w:r>
      <w:r w:rsidR="00363750">
        <w:rPr>
          <w:b/>
          <w:i/>
          <w:color w:val="000000" w:themeColor="text1"/>
          <w:u w:val="single"/>
        </w:rPr>
        <w:t>/11</w:t>
      </w:r>
      <w:r w:rsidR="000D68EE" w:rsidRPr="00D142BF">
        <w:rPr>
          <w:b/>
          <w:i/>
          <w:color w:val="000000" w:themeColor="text1"/>
          <w:u w:val="single"/>
        </w:rPr>
        <w:t>032020/ARSNA-ESMS-COVID-19</w:t>
      </w:r>
    </w:p>
    <w:p w:rsidR="00B40D20" w:rsidRDefault="00B40D20" w:rsidP="00E46A7C">
      <w:pPr>
        <w:jc w:val="both"/>
      </w:pPr>
    </w:p>
    <w:p w:rsidR="00494AF1" w:rsidRPr="00B079E1" w:rsidRDefault="00494AF1" w:rsidP="000D68EE">
      <w:pPr>
        <w:spacing w:after="120"/>
        <w:jc w:val="both"/>
        <w:rPr>
          <w:b/>
          <w:color w:val="17365D" w:themeColor="text2" w:themeShade="BF"/>
          <w:u w:val="single"/>
        </w:rPr>
      </w:pPr>
      <w:r w:rsidRPr="00B079E1">
        <w:rPr>
          <w:b/>
          <w:color w:val="17365D" w:themeColor="text2" w:themeShade="BF"/>
          <w:u w:val="single"/>
        </w:rPr>
        <w:t xml:space="preserve">DESTINATAIRES </w:t>
      </w:r>
    </w:p>
    <w:p w:rsidR="00E46A7C" w:rsidRPr="00B079E1" w:rsidRDefault="00E46A7C" w:rsidP="00580614">
      <w:pPr>
        <w:jc w:val="both"/>
        <w:rPr>
          <w:b/>
          <w:color w:val="17365D" w:themeColor="text2" w:themeShade="BF"/>
        </w:rPr>
      </w:pPr>
      <w:r w:rsidRPr="00B079E1">
        <w:rPr>
          <w:b/>
          <w:color w:val="17365D" w:themeColor="text2" w:themeShade="BF"/>
        </w:rPr>
        <w:t>Mesdames, Messieurs les Directeurs,</w:t>
      </w:r>
    </w:p>
    <w:p w:rsidR="00E46A7C" w:rsidRPr="00B079E1" w:rsidRDefault="00CD0490" w:rsidP="00580614">
      <w:pPr>
        <w:jc w:val="both"/>
        <w:rPr>
          <w:b/>
          <w:color w:val="17365D" w:themeColor="text2" w:themeShade="BF"/>
        </w:rPr>
      </w:pPr>
      <w:r w:rsidRPr="00B079E1">
        <w:rPr>
          <w:b/>
          <w:color w:val="17365D" w:themeColor="text2" w:themeShade="BF"/>
        </w:rPr>
        <w:t xml:space="preserve">Etablissements et services </w:t>
      </w:r>
      <w:r w:rsidR="000D68EE">
        <w:rPr>
          <w:b/>
          <w:color w:val="17365D" w:themeColor="text2" w:themeShade="BF"/>
        </w:rPr>
        <w:t xml:space="preserve">sociaux et </w:t>
      </w:r>
      <w:r w:rsidRPr="00B079E1">
        <w:rPr>
          <w:b/>
          <w:color w:val="17365D" w:themeColor="text2" w:themeShade="BF"/>
        </w:rPr>
        <w:t>médico-sociaux</w:t>
      </w:r>
    </w:p>
    <w:p w:rsidR="00E46A7C" w:rsidRDefault="000D68EE" w:rsidP="00580614">
      <w:pPr>
        <w:jc w:val="both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De  Nouvelle Aquitaine</w:t>
      </w:r>
    </w:p>
    <w:p w:rsidR="000D68EE" w:rsidRDefault="000D68EE" w:rsidP="000D68EE">
      <w:pPr>
        <w:shd w:val="clear" w:color="auto" w:fill="FFFFFF"/>
        <w:spacing w:after="120"/>
        <w:jc w:val="both"/>
        <w:rPr>
          <w:lang w:eastAsia="fr-FR"/>
        </w:rPr>
      </w:pPr>
    </w:p>
    <w:p w:rsidR="00CA5E74" w:rsidRPr="00CA5E74" w:rsidRDefault="00E46A7C" w:rsidP="00CA5E74">
      <w:pPr>
        <w:jc w:val="both"/>
        <w:rPr>
          <w:rFonts w:asciiTheme="minorHAnsi" w:eastAsia="Times New Roman" w:hAnsiTheme="minorHAnsi" w:cstheme="minorHAnsi"/>
          <w:lang w:eastAsia="fr-FR"/>
        </w:rPr>
      </w:pPr>
      <w:r w:rsidRPr="00CA5E74">
        <w:rPr>
          <w:rFonts w:asciiTheme="minorHAnsi" w:hAnsiTheme="minorHAnsi" w:cstheme="minorHAnsi"/>
          <w:lang w:eastAsia="fr-FR"/>
        </w:rPr>
        <w:t>Lors de la conférence de presse du samedi 29 février, le ministre de la santé a annoncé le passage de la France d’une situation épidémique de stade 1 au stade 2. Pour ces deux phases, la stratégie nationale consiste à freiner l’introduction du virus sur le territoire et sa propagation par des mesures d’endiguement afin de retarde</w:t>
      </w:r>
      <w:r w:rsidR="00464888">
        <w:rPr>
          <w:rFonts w:asciiTheme="minorHAnsi" w:hAnsiTheme="minorHAnsi" w:cstheme="minorHAnsi"/>
          <w:lang w:eastAsia="fr-FR"/>
        </w:rPr>
        <w:t>r la phase épidémique (stade 3)</w:t>
      </w:r>
      <w:r w:rsidR="00CA5E74" w:rsidRPr="008F0EA5">
        <w:rPr>
          <w:rFonts w:asciiTheme="minorHAnsi" w:eastAsia="Times New Roman" w:hAnsiTheme="minorHAnsi" w:cstheme="minorHAnsi"/>
          <w:lang w:eastAsia="fr-FR"/>
        </w:rPr>
        <w:t>.</w:t>
      </w:r>
    </w:p>
    <w:p w:rsidR="00E46A7C" w:rsidRPr="00E46A7C" w:rsidRDefault="00E46A7C" w:rsidP="00CA5E74">
      <w:pPr>
        <w:shd w:val="clear" w:color="auto" w:fill="FFFFFF"/>
        <w:spacing w:after="120"/>
        <w:jc w:val="both"/>
        <w:rPr>
          <w:lang w:eastAsia="fr-FR"/>
        </w:rPr>
      </w:pPr>
    </w:p>
    <w:p w:rsidR="00E46A7C" w:rsidRDefault="00E46A7C" w:rsidP="000D68EE">
      <w:pPr>
        <w:spacing w:after="120"/>
        <w:jc w:val="both"/>
      </w:pPr>
      <w:r w:rsidRPr="00E46A7C">
        <w:t xml:space="preserve">Aussi, dans le cadre de la gestion du coronavirus, </w:t>
      </w:r>
      <w:r w:rsidR="000D68EE">
        <w:t xml:space="preserve">et sur la base de la conduite à tenir élaborée par la DGCS et transmise à l’ensemble des établissements et services sociaux et médico-sociaux, </w:t>
      </w:r>
      <w:r w:rsidRPr="00E46A7C">
        <w:t xml:space="preserve">je vous </w:t>
      </w:r>
      <w:r w:rsidRPr="008F03DD">
        <w:t>prie de</w:t>
      </w:r>
      <w:r w:rsidRPr="008F03DD">
        <w:rPr>
          <w:u w:val="single"/>
        </w:rPr>
        <w:t xml:space="preserve"> </w:t>
      </w:r>
      <w:r w:rsidRPr="00580614">
        <w:rPr>
          <w:b/>
          <w:u w:val="single"/>
        </w:rPr>
        <w:t>bien vouloir trouver</w:t>
      </w:r>
      <w:r w:rsidRPr="008F03DD">
        <w:rPr>
          <w:b/>
          <w:u w:val="single"/>
        </w:rPr>
        <w:t xml:space="preserve"> </w:t>
      </w:r>
      <w:r w:rsidR="006F4B8A">
        <w:rPr>
          <w:b/>
          <w:u w:val="single"/>
        </w:rPr>
        <w:t>à date du 11</w:t>
      </w:r>
      <w:r w:rsidR="008F03DD" w:rsidRPr="008F03DD">
        <w:rPr>
          <w:b/>
          <w:u w:val="single"/>
        </w:rPr>
        <w:t>/03/2020</w:t>
      </w:r>
      <w:r w:rsidR="00BC79FA">
        <w:rPr>
          <w:b/>
          <w:u w:val="single"/>
        </w:rPr>
        <w:t xml:space="preserve"> – 19</w:t>
      </w:r>
      <w:r w:rsidR="00580614">
        <w:rPr>
          <w:b/>
          <w:u w:val="single"/>
        </w:rPr>
        <w:t>h</w:t>
      </w:r>
      <w:r w:rsidR="000D68EE">
        <w:rPr>
          <w:b/>
          <w:u w:val="single"/>
        </w:rPr>
        <w:t>,</w:t>
      </w:r>
      <w:r w:rsidR="008F03DD">
        <w:t xml:space="preserve"> </w:t>
      </w:r>
      <w:r w:rsidR="006F4B8A">
        <w:t xml:space="preserve">les actions à mettre en </w:t>
      </w:r>
      <w:r w:rsidR="00A5713E">
        <w:t xml:space="preserve">œuvre sans délai : </w:t>
      </w:r>
    </w:p>
    <w:p w:rsidR="00A5713E" w:rsidRDefault="00A5713E" w:rsidP="000D68EE">
      <w:pPr>
        <w:spacing w:after="120"/>
        <w:jc w:val="both"/>
      </w:pPr>
    </w:p>
    <w:p w:rsidR="000D68EE" w:rsidRPr="00E92EC9" w:rsidRDefault="006F4B8A" w:rsidP="000D68EE">
      <w:pPr>
        <w:pStyle w:val="Paragraphedeliste"/>
        <w:numPr>
          <w:ilvl w:val="0"/>
          <w:numId w:val="21"/>
        </w:numPr>
        <w:spacing w:after="120"/>
        <w:jc w:val="both"/>
        <w:rPr>
          <w:color w:val="FF0000"/>
        </w:rPr>
      </w:pPr>
      <w:r w:rsidRPr="00E92EC9">
        <w:rPr>
          <w:b/>
          <w:color w:val="FF0000"/>
          <w:u w:val="single"/>
        </w:rPr>
        <w:t>Ce mémo 3/11</w:t>
      </w:r>
      <w:r w:rsidR="000D68EE" w:rsidRPr="00E92EC9">
        <w:rPr>
          <w:b/>
          <w:color w:val="FF0000"/>
          <w:u w:val="single"/>
        </w:rPr>
        <w:t xml:space="preserve">032020 porte sur </w:t>
      </w:r>
      <w:r w:rsidRPr="00E92EC9">
        <w:rPr>
          <w:b/>
          <w:color w:val="FF0000"/>
          <w:u w:val="single"/>
        </w:rPr>
        <w:t xml:space="preserve">les mesures </w:t>
      </w:r>
      <w:r w:rsidR="00BC79FA" w:rsidRPr="00E92EC9">
        <w:rPr>
          <w:b/>
          <w:color w:val="FF0000"/>
          <w:u w:val="single"/>
        </w:rPr>
        <w:t xml:space="preserve">nouvelles </w:t>
      </w:r>
      <w:r w:rsidRPr="00E92EC9">
        <w:rPr>
          <w:b/>
          <w:color w:val="FF0000"/>
          <w:u w:val="single"/>
        </w:rPr>
        <w:t xml:space="preserve">de </w:t>
      </w:r>
      <w:r w:rsidR="00BC79FA" w:rsidRPr="00E92EC9">
        <w:rPr>
          <w:b/>
          <w:color w:val="FF0000"/>
          <w:u w:val="single"/>
        </w:rPr>
        <w:t xml:space="preserve">limitation </w:t>
      </w:r>
      <w:r w:rsidRPr="00E92EC9">
        <w:rPr>
          <w:b/>
          <w:color w:val="FF0000"/>
          <w:u w:val="single"/>
        </w:rPr>
        <w:t xml:space="preserve">des visites </w:t>
      </w:r>
      <w:r w:rsidR="00A5713E" w:rsidRPr="00E92EC9">
        <w:rPr>
          <w:b/>
          <w:color w:val="FF0000"/>
          <w:u w:val="single"/>
        </w:rPr>
        <w:t xml:space="preserve">au sein des ESMS et spécifiquement </w:t>
      </w:r>
      <w:r w:rsidRPr="00E92EC9">
        <w:rPr>
          <w:b/>
          <w:color w:val="FF0000"/>
          <w:u w:val="single"/>
        </w:rPr>
        <w:t>a</w:t>
      </w:r>
      <w:r w:rsidR="00A5713E" w:rsidRPr="00E92EC9">
        <w:rPr>
          <w:b/>
          <w:color w:val="FF0000"/>
          <w:u w:val="single"/>
        </w:rPr>
        <w:t>u sein des établissements pour personnes âgées</w:t>
      </w:r>
    </w:p>
    <w:p w:rsidR="00E92EC9" w:rsidRPr="00E92EC9" w:rsidRDefault="00E92EC9" w:rsidP="00E92EC9">
      <w:pPr>
        <w:pStyle w:val="Paragraphedeliste"/>
        <w:spacing w:after="120"/>
        <w:ind w:left="360"/>
        <w:jc w:val="both"/>
        <w:rPr>
          <w:color w:val="FF0000"/>
        </w:rPr>
      </w:pPr>
    </w:p>
    <w:p w:rsidR="00E92EC9" w:rsidRPr="00E92EC9" w:rsidRDefault="00E92EC9" w:rsidP="000D68EE">
      <w:pPr>
        <w:pStyle w:val="Paragraphedeliste"/>
        <w:numPr>
          <w:ilvl w:val="0"/>
          <w:numId w:val="21"/>
        </w:numPr>
        <w:spacing w:after="120"/>
        <w:jc w:val="both"/>
        <w:rPr>
          <w:color w:val="FF0000"/>
        </w:rPr>
      </w:pPr>
      <w:r>
        <w:rPr>
          <w:b/>
          <w:color w:val="FF0000"/>
          <w:u w:val="single"/>
        </w:rPr>
        <w:t>En pièce jointe : Affiche du Ministère des solidarités et de la santé « Visites EHPAD/USLD »</w:t>
      </w:r>
    </w:p>
    <w:p w:rsidR="00BC79FA" w:rsidRDefault="00BC79FA" w:rsidP="00BC79FA">
      <w:pPr>
        <w:spacing w:after="120"/>
        <w:jc w:val="both"/>
      </w:pPr>
    </w:p>
    <w:p w:rsidR="00A5713E" w:rsidRDefault="00A5713E">
      <w:pPr>
        <w:spacing w:after="200" w:line="276" w:lineRule="auto"/>
      </w:pPr>
      <w:r>
        <w:br w:type="page"/>
      </w:r>
    </w:p>
    <w:p w:rsidR="000D68EE" w:rsidRPr="006F4B8A" w:rsidRDefault="00A5713E" w:rsidP="006F4B8A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lastRenderedPageBreak/>
        <w:t>1°) Concernant les établissements médico-sociaux pour personnes âgées</w:t>
      </w:r>
      <w:r w:rsidR="00672F3D">
        <w:rPr>
          <w:b/>
          <w:u w:val="single"/>
        </w:rPr>
        <w:t xml:space="preserve"> (EHPAD et USLD)</w:t>
      </w:r>
    </w:p>
    <w:p w:rsidR="00A5713E" w:rsidRPr="002C683F" w:rsidRDefault="00A5713E" w:rsidP="000F05CD">
      <w:pPr>
        <w:pStyle w:val="Paragraphedeliste"/>
        <w:numPr>
          <w:ilvl w:val="0"/>
          <w:numId w:val="19"/>
        </w:numPr>
        <w:spacing w:after="120"/>
        <w:jc w:val="both"/>
        <w:rPr>
          <w:b/>
          <w:color w:val="FF0000"/>
        </w:rPr>
      </w:pPr>
      <w:r w:rsidRPr="002C683F">
        <w:rPr>
          <w:b/>
          <w:color w:val="FF0000"/>
        </w:rPr>
        <w:t xml:space="preserve">Dans les EHPAD et les USLD, </w:t>
      </w:r>
      <w:r w:rsidR="002C683F" w:rsidRPr="002C683F">
        <w:rPr>
          <w:b/>
          <w:color w:val="FF0000"/>
        </w:rPr>
        <w:t>l’intégralité des visites de personnes extérieures à l’établissement est suspendue ;</w:t>
      </w:r>
    </w:p>
    <w:p w:rsidR="00A5713E" w:rsidRDefault="002C683F" w:rsidP="000F05CD">
      <w:pPr>
        <w:pStyle w:val="Paragraphedeliste"/>
        <w:numPr>
          <w:ilvl w:val="0"/>
          <w:numId w:val="19"/>
        </w:numPr>
        <w:spacing w:after="120"/>
        <w:jc w:val="both"/>
      </w:pPr>
      <w:r>
        <w:t xml:space="preserve">Cette mesure </w:t>
      </w:r>
      <w:r w:rsidRPr="00363750">
        <w:rPr>
          <w:u w:val="single"/>
        </w:rPr>
        <w:t>est d’application immédiate et sera maintenue le temps nécessaire mais a vocation à s’interrompre en cas d’amélioration de la situation</w:t>
      </w:r>
      <w:r>
        <w:t> ;</w:t>
      </w:r>
    </w:p>
    <w:p w:rsidR="002C683F" w:rsidRPr="002C683F" w:rsidRDefault="002C683F" w:rsidP="000F05CD">
      <w:pPr>
        <w:pStyle w:val="Paragraphedeliste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</w:rPr>
      </w:pPr>
      <w:r w:rsidRPr="002C683F">
        <w:rPr>
          <w:rFonts w:asciiTheme="minorHAnsi" w:eastAsia="Times New Roman" w:hAnsiTheme="minorHAnsi" w:cstheme="minorHAnsi"/>
          <w:lang w:eastAsia="fr-FR"/>
        </w:rPr>
        <w:t>Des exceptions pourront être décidées pour des cas déterminés par le directeur de l’établissement, sur la base des préconisations locales délivrées par l’ARS et la préfecture ;</w:t>
      </w:r>
    </w:p>
    <w:p w:rsidR="002C683F" w:rsidRDefault="002C683F" w:rsidP="000F05CD">
      <w:pPr>
        <w:pStyle w:val="Paragraphedeliste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</w:rPr>
      </w:pPr>
      <w:r w:rsidRPr="002C683F">
        <w:rPr>
          <w:rFonts w:asciiTheme="minorHAnsi" w:hAnsiTheme="minorHAnsi" w:cstheme="minorHAnsi"/>
        </w:rPr>
        <w:t xml:space="preserve">A toutes fins utiles, </w:t>
      </w:r>
      <w:r w:rsidRPr="00363750">
        <w:rPr>
          <w:rFonts w:asciiTheme="minorHAnsi" w:hAnsiTheme="minorHAnsi" w:cstheme="minorHAnsi"/>
          <w:u w:val="single"/>
        </w:rPr>
        <w:t>il est demandé que le document d’information établi par le Ministère des solidarités et de la santé, annexée à ce mémo, soit affichée à l’entrée des établissements concernés</w:t>
      </w:r>
      <w:r w:rsidR="00363750">
        <w:rPr>
          <w:rFonts w:asciiTheme="minorHAnsi" w:hAnsiTheme="minorHAnsi" w:cstheme="minorHAnsi"/>
        </w:rPr>
        <w:t xml:space="preserve"> </w:t>
      </w:r>
      <w:r w:rsidR="00363750" w:rsidRPr="003331D0">
        <w:rPr>
          <w:rFonts w:asciiTheme="minorHAnsi" w:hAnsiTheme="minorHAnsi" w:cstheme="minorHAnsi"/>
          <w:u w:val="single"/>
        </w:rPr>
        <w:t>et qu’une information générale soit faite par l’établissement auprès des familles des résidents</w:t>
      </w:r>
      <w:r w:rsidRPr="002C683F">
        <w:rPr>
          <w:rFonts w:asciiTheme="minorHAnsi" w:hAnsiTheme="minorHAnsi" w:cstheme="minorHAnsi"/>
        </w:rPr>
        <w:t> ;</w:t>
      </w:r>
    </w:p>
    <w:p w:rsidR="00672F3D" w:rsidRDefault="00672F3D" w:rsidP="000F05CD">
      <w:pPr>
        <w:pStyle w:val="Paragraphedeliste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</w:rPr>
      </w:pPr>
      <w:r w:rsidRPr="003331D0">
        <w:rPr>
          <w:rFonts w:asciiTheme="minorHAnsi" w:hAnsiTheme="minorHAnsi" w:cstheme="minorHAnsi"/>
          <w:b/>
          <w:u w:val="single"/>
        </w:rPr>
        <w:t>L’activité d’accueil de jour doit être maintenue</w:t>
      </w:r>
      <w:r>
        <w:rPr>
          <w:rFonts w:asciiTheme="minorHAnsi" w:hAnsiTheme="minorHAnsi" w:cstheme="minorHAnsi"/>
        </w:rPr>
        <w:t> ; hors cas symptomatiques nécessitant un maintien à domicile, les personnes âgées venant en accueil de jour d’EHPAD doivent pouvoir bénéficier des soins et accompagnement</w:t>
      </w:r>
      <w:r w:rsidR="00CC387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dont ils ont besoin. L’accueil de jour constitue également une possibilité de répit quotidien pour les aidants familiaux.</w:t>
      </w:r>
    </w:p>
    <w:p w:rsidR="00672F3D" w:rsidRPr="002C683F" w:rsidRDefault="00672F3D" w:rsidP="000F05CD">
      <w:pPr>
        <w:pStyle w:val="Paragraphedeliste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</w:rPr>
      </w:pPr>
      <w:r w:rsidRPr="003331D0">
        <w:rPr>
          <w:rFonts w:asciiTheme="minorHAnsi" w:hAnsiTheme="minorHAnsi" w:cstheme="minorHAnsi"/>
          <w:b/>
          <w:u w:val="single"/>
        </w:rPr>
        <w:t>Concernant les prestations et activités proposées par les EHPAD « Pôle ressource de proximité » de Nouvelle Aquitaine</w:t>
      </w:r>
      <w:r w:rsidRPr="003331D0">
        <w:rPr>
          <w:rFonts w:asciiTheme="minorHAnsi" w:hAnsiTheme="minorHAnsi" w:cstheme="minorHAnsi"/>
          <w:b/>
        </w:rPr>
        <w:t>, il est préconisé que toutes celles se déroulant au sein de l’établissement soient reportées</w:t>
      </w:r>
      <w:r>
        <w:rPr>
          <w:rFonts w:asciiTheme="minorHAnsi" w:hAnsiTheme="minorHAnsi" w:cstheme="minorHAnsi"/>
        </w:rPr>
        <w:t xml:space="preserve">. Il </w:t>
      </w:r>
      <w:r w:rsidR="00CC3876">
        <w:rPr>
          <w:rFonts w:asciiTheme="minorHAnsi" w:hAnsiTheme="minorHAnsi" w:cstheme="minorHAnsi"/>
        </w:rPr>
        <w:t>est laissé la possibilité à la d</w:t>
      </w:r>
      <w:r>
        <w:rPr>
          <w:rFonts w:asciiTheme="minorHAnsi" w:hAnsiTheme="minorHAnsi" w:cstheme="minorHAnsi"/>
        </w:rPr>
        <w:t xml:space="preserve">irection de l’établissement de maintenir les prestations externes à l’établissement </w:t>
      </w:r>
      <w:r w:rsidR="00972C5D">
        <w:rPr>
          <w:rFonts w:asciiTheme="minorHAnsi" w:hAnsiTheme="minorHAnsi" w:cstheme="minorHAnsi"/>
        </w:rPr>
        <w:t xml:space="preserve">notamment pour celles qui pourraient </w:t>
      </w:r>
      <w:r>
        <w:rPr>
          <w:rFonts w:asciiTheme="minorHAnsi" w:hAnsiTheme="minorHAnsi" w:cstheme="minorHAnsi"/>
        </w:rPr>
        <w:t xml:space="preserve">contribuer à </w:t>
      </w:r>
      <w:r w:rsidR="00972C5D">
        <w:rPr>
          <w:rFonts w:asciiTheme="minorHAnsi" w:hAnsiTheme="minorHAnsi" w:cstheme="minorHAnsi"/>
        </w:rPr>
        <w:t>la mise en œuvre des gestes barrières ;</w:t>
      </w:r>
    </w:p>
    <w:p w:rsidR="002C683F" w:rsidRPr="002C683F" w:rsidRDefault="002C683F" w:rsidP="000F05CD">
      <w:pPr>
        <w:pStyle w:val="Paragraphedeliste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</w:rPr>
      </w:pPr>
      <w:r w:rsidRPr="002C683F">
        <w:rPr>
          <w:rFonts w:asciiTheme="minorHAnsi" w:hAnsiTheme="minorHAnsi" w:cstheme="minorHAnsi"/>
        </w:rPr>
        <w:t xml:space="preserve">Concernant les résidences autonomie, </w:t>
      </w:r>
      <w:r>
        <w:rPr>
          <w:rFonts w:asciiTheme="minorHAnsi" w:hAnsiTheme="minorHAnsi" w:cstheme="minorHAnsi"/>
        </w:rPr>
        <w:t>les visites restent fortement déconseillées.</w:t>
      </w:r>
    </w:p>
    <w:p w:rsidR="0015678A" w:rsidRPr="002C683F" w:rsidRDefault="002C683F" w:rsidP="002C683F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2°) </w:t>
      </w:r>
      <w:r w:rsidR="000D68EE" w:rsidRPr="002C683F">
        <w:rPr>
          <w:b/>
          <w:u w:val="single"/>
        </w:rPr>
        <w:t>Concernant la venue des publics et le maintien des activités extérieures pour les personnes accueillies/accompagnées</w:t>
      </w:r>
      <w:r>
        <w:rPr>
          <w:b/>
          <w:u w:val="single"/>
        </w:rPr>
        <w:t xml:space="preserve"> dans les ESMS </w:t>
      </w:r>
      <w:r w:rsidR="00363750">
        <w:rPr>
          <w:b/>
          <w:color w:val="FF0000"/>
          <w:u w:val="single"/>
        </w:rPr>
        <w:t>autres que les EHPAD</w:t>
      </w:r>
    </w:p>
    <w:p w:rsidR="002C683F" w:rsidRPr="002C683F" w:rsidRDefault="002C683F" w:rsidP="000F05CD">
      <w:pPr>
        <w:pStyle w:val="Paragraphedeliste"/>
        <w:numPr>
          <w:ilvl w:val="0"/>
          <w:numId w:val="22"/>
        </w:numPr>
        <w:spacing w:after="120"/>
        <w:jc w:val="both"/>
      </w:pPr>
      <w:r>
        <w:t>Les mesures préconisées via le mémo2 COVID19-ESMS</w:t>
      </w:r>
      <w:r w:rsidR="00363750">
        <w:t xml:space="preserve"> du 7 mars 2020 restent en vigueur.</w:t>
      </w:r>
    </w:p>
    <w:p w:rsidR="00C308BB" w:rsidRDefault="000F05CD" w:rsidP="000F05CD">
      <w:pPr>
        <w:pStyle w:val="Paragraphedeliste"/>
        <w:numPr>
          <w:ilvl w:val="0"/>
          <w:numId w:val="22"/>
        </w:numPr>
        <w:spacing w:after="120"/>
        <w:jc w:val="both"/>
      </w:pPr>
      <w:r w:rsidRPr="00F06C99">
        <w:rPr>
          <w:u w:val="single"/>
        </w:rPr>
        <w:t xml:space="preserve">Pour rappel, la DGCS préconise </w:t>
      </w:r>
      <w:r w:rsidR="007A663A">
        <w:rPr>
          <w:u w:val="single"/>
        </w:rPr>
        <w:t xml:space="preserve">en date du 5/03/2020 </w:t>
      </w:r>
      <w:r w:rsidRPr="00F06C99">
        <w:rPr>
          <w:u w:val="single"/>
        </w:rPr>
        <w:t>la conduite à tenir suivante (page 5)</w:t>
      </w:r>
      <w:r>
        <w:t xml:space="preserve"> : </w:t>
      </w:r>
    </w:p>
    <w:p w:rsidR="000F05CD" w:rsidRPr="000F05CD" w:rsidRDefault="000F05CD" w:rsidP="000F05CD">
      <w:pPr>
        <w:pStyle w:val="Paragraphedeliste"/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0F05CD">
        <w:rPr>
          <w:rFonts w:ascii="Arial" w:hAnsi="Arial" w:cs="Arial"/>
          <w:i/>
          <w:sz w:val="20"/>
          <w:szCs w:val="20"/>
        </w:rPr>
        <w:t xml:space="preserve">« Il est fortement recommandé d’interdire les visites aux mineurs, aux familles de retour de zone à risques ou de zone de circulation active du virus (« cluster »), ainsi qu’aux personnes présentant des symptômes de type respiratoires.  </w:t>
      </w:r>
    </w:p>
    <w:p w:rsidR="000F05CD" w:rsidRPr="000F05CD" w:rsidRDefault="000F05CD" w:rsidP="000F05CD">
      <w:pPr>
        <w:pStyle w:val="Paragraphedeliste"/>
        <w:numPr>
          <w:ilvl w:val="0"/>
          <w:numId w:val="23"/>
        </w:numPr>
        <w:spacing w:after="120"/>
        <w:ind w:left="714" w:hanging="357"/>
        <w:jc w:val="both"/>
        <w:rPr>
          <w:i/>
        </w:rPr>
      </w:pPr>
      <w:r w:rsidRPr="000F05CD">
        <w:rPr>
          <w:rFonts w:ascii="Arial" w:hAnsi="Arial" w:cs="Arial"/>
          <w:i/>
          <w:sz w:val="20"/>
          <w:szCs w:val="20"/>
        </w:rPr>
        <w:t>« Les autres personnes seront incitées à respecter les gestes barrières (lavage de mains, respect d’une distance minimale…). »</w:t>
      </w:r>
    </w:p>
    <w:p w:rsidR="007A663A" w:rsidRPr="00BC79FA" w:rsidRDefault="007A663A" w:rsidP="009A0FC2">
      <w:pPr>
        <w:pStyle w:val="Paragraphedeliste"/>
        <w:numPr>
          <w:ilvl w:val="0"/>
          <w:numId w:val="22"/>
        </w:numPr>
        <w:spacing w:after="120"/>
        <w:jc w:val="both"/>
        <w:rPr>
          <w:rStyle w:val="fontstyle21"/>
          <w:color w:val="auto"/>
        </w:rPr>
      </w:pPr>
      <w:r w:rsidRPr="00BC79FA">
        <w:t xml:space="preserve">Compte tenu </w:t>
      </w:r>
      <w:r w:rsidR="00363750" w:rsidRPr="00BC79FA">
        <w:t>de la fragilité particulière – dont l’appréciation relève de l’expertise et de la connaissance des équipes pluridisciplinaires des ESMS concernés - de personnes en situation de handicap ou ayant des difficultés spécifiques</w:t>
      </w:r>
      <w:r w:rsidRPr="00BC79FA">
        <w:rPr>
          <w:u w:val="single"/>
        </w:rPr>
        <w:t xml:space="preserve">, </w:t>
      </w:r>
      <w:r w:rsidR="00363750" w:rsidRPr="00BC79FA">
        <w:rPr>
          <w:u w:val="single"/>
        </w:rPr>
        <w:t xml:space="preserve">et sur décision de la Direction de l’établissement, </w:t>
      </w:r>
      <w:r w:rsidR="00363750" w:rsidRPr="00BC79FA">
        <w:rPr>
          <w:rStyle w:val="fontstyle21"/>
          <w:color w:val="auto"/>
          <w:u w:val="single"/>
        </w:rPr>
        <w:t>les visites aux personnes peuvent être restreintes</w:t>
      </w:r>
      <w:r w:rsidRPr="00BC79FA">
        <w:rPr>
          <w:rStyle w:val="fontstyle21"/>
          <w:color w:val="auto"/>
        </w:rPr>
        <w:t xml:space="preserve">. (les personnes mineures tout </w:t>
      </w:r>
      <w:r w:rsidR="009A0FC2" w:rsidRPr="00BC79FA">
        <w:rPr>
          <w:rStyle w:val="fontstyle21"/>
          <w:color w:val="auto"/>
        </w:rPr>
        <w:t xml:space="preserve">particulièrement). </w:t>
      </w:r>
      <w:r w:rsidRPr="00BC79FA">
        <w:rPr>
          <w:rStyle w:val="fontstyle21"/>
          <w:color w:val="auto"/>
          <w:u w:val="single"/>
        </w:rPr>
        <w:t>Les personnes symptomat</w:t>
      </w:r>
      <w:r w:rsidR="009A0FC2" w:rsidRPr="00BC79FA">
        <w:rPr>
          <w:rStyle w:val="fontstyle21"/>
          <w:color w:val="auto"/>
          <w:u w:val="single"/>
        </w:rPr>
        <w:t>iques sont interdites de visite </w:t>
      </w:r>
      <w:r w:rsidR="009A0FC2" w:rsidRPr="00BC79FA">
        <w:rPr>
          <w:rStyle w:val="fontstyle21"/>
          <w:color w:val="auto"/>
        </w:rPr>
        <w:t>;</w:t>
      </w:r>
    </w:p>
    <w:p w:rsidR="00363750" w:rsidRDefault="00363750" w:rsidP="00363750">
      <w:pPr>
        <w:pStyle w:val="Paragraphedeliste"/>
        <w:numPr>
          <w:ilvl w:val="0"/>
          <w:numId w:val="22"/>
        </w:numPr>
        <w:spacing w:after="120"/>
        <w:jc w:val="both"/>
      </w:pPr>
      <w:r>
        <w:rPr>
          <w:u w:val="single"/>
        </w:rPr>
        <w:t xml:space="preserve">Pour autant, </w:t>
      </w:r>
      <w:r w:rsidRPr="00B76E08">
        <w:rPr>
          <w:u w:val="single"/>
        </w:rPr>
        <w:t xml:space="preserve">les mesures visant à interdire totalement toutes les entrées et visites pour les personnes </w:t>
      </w:r>
      <w:r>
        <w:rPr>
          <w:u w:val="single"/>
        </w:rPr>
        <w:t xml:space="preserve">handicapées ou avec difficultés spécifiques, </w:t>
      </w:r>
      <w:r w:rsidRPr="00B76E08">
        <w:rPr>
          <w:u w:val="single"/>
        </w:rPr>
        <w:t xml:space="preserve"> sont excessives et difficilement tenables dans la durée</w:t>
      </w:r>
      <w:r>
        <w:t> ;</w:t>
      </w:r>
    </w:p>
    <w:p w:rsidR="00BC79FA" w:rsidRDefault="00BC79FA" w:rsidP="00BC79FA">
      <w:pPr>
        <w:pStyle w:val="Paragraphedeliste"/>
        <w:numPr>
          <w:ilvl w:val="0"/>
          <w:numId w:val="22"/>
        </w:numPr>
        <w:spacing w:after="120"/>
        <w:jc w:val="both"/>
      </w:pPr>
      <w:r>
        <w:t xml:space="preserve">Il </w:t>
      </w:r>
      <w:r w:rsidRPr="00F06C99">
        <w:rPr>
          <w:u w:val="single"/>
        </w:rPr>
        <w:t xml:space="preserve">en va de même pour la possibilité pour les personnes accueillies au sein des établissements de pouvoir </w:t>
      </w:r>
      <w:r>
        <w:rPr>
          <w:u w:val="single"/>
        </w:rPr>
        <w:t>sortir de l’établissement</w:t>
      </w:r>
      <w:r w:rsidRPr="00F06C99">
        <w:rPr>
          <w:u w:val="single"/>
        </w:rPr>
        <w:t xml:space="preserve"> afin de maintenir</w:t>
      </w:r>
      <w:r>
        <w:rPr>
          <w:u w:val="single"/>
        </w:rPr>
        <w:t xml:space="preserve"> notamment les sorties et activités extérieures</w:t>
      </w:r>
      <w:r w:rsidRPr="00F06C99">
        <w:rPr>
          <w:u w:val="single"/>
        </w:rPr>
        <w:t>, en s’assurant des précautions et mesures de prévention nécessaires, une qualité de vie digne</w:t>
      </w:r>
      <w:r>
        <w:rPr>
          <w:u w:val="single"/>
        </w:rPr>
        <w:t xml:space="preserve"> et de limiter la restriction de vie sociale des personnes</w:t>
      </w:r>
      <w:r>
        <w:t> ; il est donc préconisé d’adapter le planning des sorties et activités extérieures.</w:t>
      </w:r>
    </w:p>
    <w:p w:rsidR="00BC79FA" w:rsidRPr="00BC79FA" w:rsidRDefault="00BC79FA" w:rsidP="00BC79FA">
      <w:pPr>
        <w:pStyle w:val="Paragraphedeliste"/>
        <w:numPr>
          <w:ilvl w:val="0"/>
          <w:numId w:val="22"/>
        </w:numPr>
        <w:spacing w:after="120"/>
        <w:jc w:val="both"/>
        <w:rPr>
          <w:rStyle w:val="fontstyle21"/>
          <w:color w:val="auto"/>
        </w:rPr>
      </w:pPr>
      <w:r>
        <w:t xml:space="preserve">Il appartient donc aux Directions des établissements de prendre les mesures et précautions adaptées permettant </w:t>
      </w:r>
      <w:r w:rsidRPr="00F06C99">
        <w:rPr>
          <w:u w:val="single"/>
        </w:rPr>
        <w:t>de concilier la prévention du risque épidémique po</w:t>
      </w:r>
      <w:r>
        <w:rPr>
          <w:u w:val="single"/>
        </w:rPr>
        <w:t>ur la santé des plus fragiles tout en préservant</w:t>
      </w:r>
      <w:r w:rsidRPr="00F06C99">
        <w:rPr>
          <w:u w:val="single"/>
        </w:rPr>
        <w:t xml:space="preserve"> les droits fondamentaux des personnes</w:t>
      </w:r>
      <w:r>
        <w:t> ;</w:t>
      </w:r>
    </w:p>
    <w:p w:rsidR="002C683F" w:rsidRPr="003331D0" w:rsidRDefault="007A663A" w:rsidP="002C683F">
      <w:pPr>
        <w:pStyle w:val="Paragraphedeliste"/>
        <w:numPr>
          <w:ilvl w:val="0"/>
          <w:numId w:val="22"/>
        </w:numPr>
        <w:spacing w:after="120"/>
        <w:jc w:val="both"/>
        <w:rPr>
          <w:rStyle w:val="fontstyle21"/>
          <w:color w:val="auto"/>
        </w:rPr>
      </w:pPr>
      <w:r>
        <w:rPr>
          <w:rStyle w:val="fontstyle21"/>
        </w:rPr>
        <w:t>Les services intervenant au</w:t>
      </w:r>
      <w:r>
        <w:rPr>
          <w:color w:val="000000"/>
        </w:rPr>
        <w:t xml:space="preserve"> </w:t>
      </w:r>
      <w:r>
        <w:rPr>
          <w:rStyle w:val="fontstyle21"/>
        </w:rPr>
        <w:t>domicile invitent les personnes qu’ils accompagnent à limiter leurs sorties, les visites à leur domicile</w:t>
      </w:r>
      <w:r w:rsidR="009A0FC2">
        <w:rPr>
          <w:rStyle w:val="fontstyle21"/>
        </w:rPr>
        <w:t xml:space="preserve"> </w:t>
      </w:r>
      <w:r>
        <w:rPr>
          <w:rStyle w:val="fontstyle21"/>
        </w:rPr>
        <w:t>de personnes extérieures, et en particulier</w:t>
      </w:r>
      <w:r w:rsidR="009A0FC2">
        <w:rPr>
          <w:rStyle w:val="fontstyle21"/>
        </w:rPr>
        <w:t xml:space="preserve"> les contacts avec les mineurs.</w:t>
      </w:r>
    </w:p>
    <w:p w:rsidR="002C683F" w:rsidRPr="00363750" w:rsidRDefault="002C683F" w:rsidP="002C683F">
      <w:pPr>
        <w:spacing w:after="120"/>
        <w:jc w:val="both"/>
        <w:rPr>
          <w:rStyle w:val="fontstyle21"/>
          <w:b/>
          <w:u w:val="single"/>
        </w:rPr>
      </w:pPr>
      <w:r w:rsidRPr="002C683F">
        <w:rPr>
          <w:rStyle w:val="fontstyle21"/>
          <w:b/>
          <w:u w:val="single"/>
        </w:rPr>
        <w:t>3°) Maintien et re</w:t>
      </w:r>
      <w:r w:rsidR="00363750">
        <w:rPr>
          <w:rStyle w:val="fontstyle21"/>
          <w:b/>
          <w:u w:val="single"/>
        </w:rPr>
        <w:t>nforcement des gestes barrières</w:t>
      </w:r>
    </w:p>
    <w:p w:rsidR="0015678A" w:rsidRPr="003331D0" w:rsidRDefault="007A663A" w:rsidP="003331D0">
      <w:pPr>
        <w:pStyle w:val="Paragraphedeliste"/>
        <w:numPr>
          <w:ilvl w:val="0"/>
          <w:numId w:val="30"/>
        </w:numPr>
        <w:spacing w:after="120"/>
        <w:jc w:val="both"/>
      </w:pPr>
      <w:r>
        <w:rPr>
          <w:rStyle w:val="fontstyle21"/>
        </w:rPr>
        <w:t xml:space="preserve">Dans tous les cas, </w:t>
      </w:r>
      <w:r w:rsidRPr="00363750">
        <w:rPr>
          <w:rStyle w:val="fontstyle21"/>
          <w:u w:val="single"/>
        </w:rPr>
        <w:t>les</w:t>
      </w:r>
      <w:r w:rsidR="009A0FC2" w:rsidRPr="00363750">
        <w:rPr>
          <w:rStyle w:val="fontstyle21"/>
          <w:u w:val="single"/>
        </w:rPr>
        <w:t xml:space="preserve"> </w:t>
      </w:r>
      <w:r w:rsidRPr="00363750">
        <w:rPr>
          <w:rStyle w:val="fontstyle21"/>
          <w:u w:val="single"/>
        </w:rPr>
        <w:t>recommandations relatives aux gest</w:t>
      </w:r>
      <w:r w:rsidR="00363750" w:rsidRPr="00363750">
        <w:rPr>
          <w:rStyle w:val="fontstyle21"/>
          <w:u w:val="single"/>
        </w:rPr>
        <w:t>es barrières sont mises en œuvre tant au niveau des personnel, des personnes accompagnées que des personnes extérieures</w:t>
      </w:r>
      <w:r w:rsidR="00BC79FA">
        <w:rPr>
          <w:rStyle w:val="fontstyle21"/>
          <w:u w:val="single"/>
        </w:rPr>
        <w:t xml:space="preserve"> (personnels de l’établissement, professionnels extérieurs dont l’intervention est requise…)</w:t>
      </w:r>
      <w:r w:rsidR="009A0FC2">
        <w:rPr>
          <w:rStyle w:val="fontstyle21"/>
        </w:rPr>
        <w:t> ;</w:t>
      </w:r>
    </w:p>
    <w:sectPr w:rsidR="0015678A" w:rsidRPr="003331D0" w:rsidSect="005A3C2D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FA" w:rsidRDefault="003209FA" w:rsidP="00C62F97">
      <w:r>
        <w:separator/>
      </w:r>
    </w:p>
  </w:endnote>
  <w:endnote w:type="continuationSeparator" w:id="0">
    <w:p w:rsidR="003209FA" w:rsidRDefault="003209FA" w:rsidP="00C6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FA" w:rsidRDefault="003209FA" w:rsidP="00C62F97">
      <w:r>
        <w:separator/>
      </w:r>
    </w:p>
  </w:footnote>
  <w:footnote w:type="continuationSeparator" w:id="0">
    <w:p w:rsidR="003209FA" w:rsidRDefault="003209FA" w:rsidP="00C6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2E2"/>
    <w:multiLevelType w:val="hybridMultilevel"/>
    <w:tmpl w:val="1D28EF9A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192AE2"/>
    <w:multiLevelType w:val="hybridMultilevel"/>
    <w:tmpl w:val="DD00012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B55DE"/>
    <w:multiLevelType w:val="hybridMultilevel"/>
    <w:tmpl w:val="8E2E1B1A"/>
    <w:lvl w:ilvl="0" w:tplc="BEF0A22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614BD"/>
    <w:multiLevelType w:val="hybridMultilevel"/>
    <w:tmpl w:val="8294E7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84279B"/>
    <w:multiLevelType w:val="hybridMultilevel"/>
    <w:tmpl w:val="2E2E0B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361CF8"/>
    <w:multiLevelType w:val="hybridMultilevel"/>
    <w:tmpl w:val="FA0C4A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77D27"/>
    <w:multiLevelType w:val="hybridMultilevel"/>
    <w:tmpl w:val="1C9E5C4C"/>
    <w:lvl w:ilvl="0" w:tplc="BEF0A22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00206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D3AC9"/>
    <w:multiLevelType w:val="hybridMultilevel"/>
    <w:tmpl w:val="06A2DDBE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CEC3CDB"/>
    <w:multiLevelType w:val="hybridMultilevel"/>
    <w:tmpl w:val="B8508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05197"/>
    <w:multiLevelType w:val="hybridMultilevel"/>
    <w:tmpl w:val="A490AF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0C1781"/>
    <w:multiLevelType w:val="hybridMultilevel"/>
    <w:tmpl w:val="B1DE1DF6"/>
    <w:lvl w:ilvl="0" w:tplc="040C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272D1A23"/>
    <w:multiLevelType w:val="hybridMultilevel"/>
    <w:tmpl w:val="BBE4B9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562111"/>
    <w:multiLevelType w:val="hybridMultilevel"/>
    <w:tmpl w:val="7374BA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C2CD2"/>
    <w:multiLevelType w:val="hybridMultilevel"/>
    <w:tmpl w:val="B37C4F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7325C"/>
    <w:multiLevelType w:val="hybridMultilevel"/>
    <w:tmpl w:val="6330C2A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87196A"/>
    <w:multiLevelType w:val="hybridMultilevel"/>
    <w:tmpl w:val="7A3CE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911CE"/>
    <w:multiLevelType w:val="hybridMultilevel"/>
    <w:tmpl w:val="EE70E6E6"/>
    <w:lvl w:ilvl="0" w:tplc="BEF0A22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F26AF"/>
    <w:multiLevelType w:val="hybridMultilevel"/>
    <w:tmpl w:val="765069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B78A3"/>
    <w:multiLevelType w:val="hybridMultilevel"/>
    <w:tmpl w:val="B45245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FF1BB9"/>
    <w:multiLevelType w:val="hybridMultilevel"/>
    <w:tmpl w:val="6770A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030C2"/>
    <w:multiLevelType w:val="hybridMultilevel"/>
    <w:tmpl w:val="6DC0F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36C92"/>
    <w:multiLevelType w:val="hybridMultilevel"/>
    <w:tmpl w:val="DE422E6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3D94D3D"/>
    <w:multiLevelType w:val="hybridMultilevel"/>
    <w:tmpl w:val="AE0A40F0"/>
    <w:lvl w:ilvl="0" w:tplc="8ECA86C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67895"/>
    <w:multiLevelType w:val="hybridMultilevel"/>
    <w:tmpl w:val="65526A9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CAD7145"/>
    <w:multiLevelType w:val="hybridMultilevel"/>
    <w:tmpl w:val="4AEE1E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860D08"/>
    <w:multiLevelType w:val="hybridMultilevel"/>
    <w:tmpl w:val="4D2042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240056"/>
    <w:multiLevelType w:val="hybridMultilevel"/>
    <w:tmpl w:val="E12E4C42"/>
    <w:lvl w:ilvl="0" w:tplc="E52C44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B6727"/>
    <w:multiLevelType w:val="hybridMultilevel"/>
    <w:tmpl w:val="E2D474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6"/>
  </w:num>
  <w:num w:numId="5">
    <w:abstractNumId w:val="17"/>
  </w:num>
  <w:num w:numId="6">
    <w:abstractNumId w:val="25"/>
  </w:num>
  <w:num w:numId="7">
    <w:abstractNumId w:val="14"/>
  </w:num>
  <w:num w:numId="8">
    <w:abstractNumId w:val="3"/>
  </w:num>
  <w:num w:numId="9">
    <w:abstractNumId w:val="26"/>
  </w:num>
  <w:num w:numId="10">
    <w:abstractNumId w:val="27"/>
  </w:num>
  <w:num w:numId="11">
    <w:abstractNumId w:val="23"/>
  </w:num>
  <w:num w:numId="12">
    <w:abstractNumId w:val="8"/>
  </w:num>
  <w:num w:numId="13">
    <w:abstractNumId w:val="4"/>
  </w:num>
  <w:num w:numId="14">
    <w:abstractNumId w:val="15"/>
  </w:num>
  <w:num w:numId="15">
    <w:abstractNumId w:val="9"/>
  </w:num>
  <w:num w:numId="16">
    <w:abstractNumId w:val="5"/>
  </w:num>
  <w:num w:numId="17">
    <w:abstractNumId w:val="21"/>
  </w:num>
  <w:num w:numId="18">
    <w:abstractNumId w:val="22"/>
  </w:num>
  <w:num w:numId="19">
    <w:abstractNumId w:val="13"/>
  </w:num>
  <w:num w:numId="20">
    <w:abstractNumId w:val="16"/>
  </w:num>
  <w:num w:numId="21">
    <w:abstractNumId w:val="2"/>
  </w:num>
  <w:num w:numId="22">
    <w:abstractNumId w:val="18"/>
  </w:num>
  <w:num w:numId="23">
    <w:abstractNumId w:val="12"/>
  </w:num>
  <w:num w:numId="24">
    <w:abstractNumId w:val="11"/>
  </w:num>
  <w:num w:numId="25">
    <w:abstractNumId w:val="0"/>
  </w:num>
  <w:num w:numId="26">
    <w:abstractNumId w:val="19"/>
  </w:num>
  <w:num w:numId="27">
    <w:abstractNumId w:val="20"/>
  </w:num>
  <w:num w:numId="28">
    <w:abstractNumId w:val="1"/>
  </w:num>
  <w:num w:numId="29">
    <w:abstractNumId w:val="1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7C"/>
    <w:rsid w:val="00002D07"/>
    <w:rsid w:val="000871C0"/>
    <w:rsid w:val="000D68EE"/>
    <w:rsid w:val="000F05CD"/>
    <w:rsid w:val="00112DFB"/>
    <w:rsid w:val="001315C5"/>
    <w:rsid w:val="0015678A"/>
    <w:rsid w:val="00172B9C"/>
    <w:rsid w:val="001962D3"/>
    <w:rsid w:val="001B226D"/>
    <w:rsid w:val="001B2496"/>
    <w:rsid w:val="001E25C5"/>
    <w:rsid w:val="00282B3D"/>
    <w:rsid w:val="002C683F"/>
    <w:rsid w:val="002F781D"/>
    <w:rsid w:val="0030098D"/>
    <w:rsid w:val="003209FA"/>
    <w:rsid w:val="003331D0"/>
    <w:rsid w:val="00363750"/>
    <w:rsid w:val="0044528C"/>
    <w:rsid w:val="004614E9"/>
    <w:rsid w:val="00464888"/>
    <w:rsid w:val="00494AF1"/>
    <w:rsid w:val="00523742"/>
    <w:rsid w:val="0057112A"/>
    <w:rsid w:val="00580614"/>
    <w:rsid w:val="005A3C2D"/>
    <w:rsid w:val="00672F3D"/>
    <w:rsid w:val="006E2FEB"/>
    <w:rsid w:val="006F4B8A"/>
    <w:rsid w:val="007005F3"/>
    <w:rsid w:val="00741962"/>
    <w:rsid w:val="00767993"/>
    <w:rsid w:val="007A663A"/>
    <w:rsid w:val="007B0CC1"/>
    <w:rsid w:val="007C50CB"/>
    <w:rsid w:val="007F0E6D"/>
    <w:rsid w:val="008139A3"/>
    <w:rsid w:val="00834B43"/>
    <w:rsid w:val="00897652"/>
    <w:rsid w:val="008C4081"/>
    <w:rsid w:val="008F03DD"/>
    <w:rsid w:val="008F0EA5"/>
    <w:rsid w:val="008F46FA"/>
    <w:rsid w:val="00972C5D"/>
    <w:rsid w:val="009979C1"/>
    <w:rsid w:val="009A0FC2"/>
    <w:rsid w:val="009B187A"/>
    <w:rsid w:val="00A05837"/>
    <w:rsid w:val="00A5713E"/>
    <w:rsid w:val="00A91306"/>
    <w:rsid w:val="00AE42B3"/>
    <w:rsid w:val="00B026F4"/>
    <w:rsid w:val="00B079E1"/>
    <w:rsid w:val="00B40D20"/>
    <w:rsid w:val="00B55BC3"/>
    <w:rsid w:val="00B739BE"/>
    <w:rsid w:val="00B76E08"/>
    <w:rsid w:val="00B959D6"/>
    <w:rsid w:val="00BA4324"/>
    <w:rsid w:val="00BA4FAC"/>
    <w:rsid w:val="00BC379C"/>
    <w:rsid w:val="00BC79FA"/>
    <w:rsid w:val="00BF34C8"/>
    <w:rsid w:val="00C308BB"/>
    <w:rsid w:val="00C62F97"/>
    <w:rsid w:val="00CA3A5C"/>
    <w:rsid w:val="00CA5E74"/>
    <w:rsid w:val="00CB5DDF"/>
    <w:rsid w:val="00CC3876"/>
    <w:rsid w:val="00CD0490"/>
    <w:rsid w:val="00D142BF"/>
    <w:rsid w:val="00D71AFA"/>
    <w:rsid w:val="00D86356"/>
    <w:rsid w:val="00E06EB4"/>
    <w:rsid w:val="00E401D8"/>
    <w:rsid w:val="00E46A7C"/>
    <w:rsid w:val="00E92EC9"/>
    <w:rsid w:val="00F06C99"/>
    <w:rsid w:val="00F21E3F"/>
    <w:rsid w:val="00F47A50"/>
    <w:rsid w:val="00F8751D"/>
    <w:rsid w:val="00F90C3C"/>
    <w:rsid w:val="00FB5064"/>
    <w:rsid w:val="00FD1018"/>
    <w:rsid w:val="00FD6AC4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9B14"/>
  <w15:docId w15:val="{9F49E6A9-00CF-41DA-B649-AB3BDA8A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A7C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42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42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6A7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46A7C"/>
    <w:pPr>
      <w:ind w:left="720"/>
    </w:pPr>
  </w:style>
  <w:style w:type="character" w:styleId="lev">
    <w:name w:val="Strong"/>
    <w:basedOn w:val="Policepardfaut"/>
    <w:uiPriority w:val="22"/>
    <w:qFormat/>
    <w:rsid w:val="00E46A7C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CD04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04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0490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04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0490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4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490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B187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2F97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2F97"/>
    <w:rPr>
      <w:rFonts w:ascii="Calibri" w:hAnsi="Calibri" w:cs="Calibri"/>
    </w:rPr>
  </w:style>
  <w:style w:type="paragraph" w:styleId="Titre">
    <w:name w:val="Title"/>
    <w:basedOn w:val="Normal"/>
    <w:next w:val="Normal"/>
    <w:link w:val="TitreCar"/>
    <w:uiPriority w:val="10"/>
    <w:qFormat/>
    <w:rsid w:val="00D142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4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basedOn w:val="Normal"/>
    <w:uiPriority w:val="99"/>
    <w:rsid w:val="00172B9C"/>
    <w:pPr>
      <w:autoSpaceDE w:val="0"/>
      <w:autoSpaceDN w:val="0"/>
    </w:pPr>
    <w:rPr>
      <w:color w:val="000000"/>
      <w:sz w:val="24"/>
      <w:szCs w:val="24"/>
    </w:rPr>
  </w:style>
  <w:style w:type="character" w:customStyle="1" w:styleId="fontstyle01">
    <w:name w:val="fontstyle01"/>
    <w:basedOn w:val="Policepardfaut"/>
    <w:rsid w:val="00B026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B026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ACEF, Saïd</dc:creator>
  <cp:lastModifiedBy>Communication Citoyens Justice</cp:lastModifiedBy>
  <cp:revision>7</cp:revision>
  <dcterms:created xsi:type="dcterms:W3CDTF">2020-03-11T16:57:00Z</dcterms:created>
  <dcterms:modified xsi:type="dcterms:W3CDTF">2020-03-16T09:32:00Z</dcterms:modified>
</cp:coreProperties>
</file>