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97" w:rsidRDefault="000D68EE" w:rsidP="005A3C2D">
      <w:pPr>
        <w:jc w:val="center"/>
        <w:rPr>
          <w:noProof/>
          <w:color w:val="1F497D"/>
          <w:lang w:eastAsia="fr-FR"/>
        </w:rPr>
      </w:pPr>
      <w:r>
        <w:rPr>
          <w:noProof/>
          <w:lang w:eastAsia="fr-FR"/>
        </w:rPr>
        <w:drawing>
          <wp:inline distT="0" distB="0" distL="0" distR="0" wp14:anchorId="0EA30288" wp14:editId="1EA4D900">
            <wp:extent cx="5902961" cy="1828800"/>
            <wp:effectExtent l="0" t="0" r="2540" b="0"/>
            <wp:docPr id="4" name="Image 4" descr="signature_mail_c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mail_coronavir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32" cy="182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F97" w:rsidRDefault="00C62F97" w:rsidP="00E46A7C">
      <w:pPr>
        <w:jc w:val="both"/>
        <w:rPr>
          <w:noProof/>
          <w:color w:val="1F497D"/>
          <w:lang w:eastAsia="fr-FR"/>
        </w:rPr>
      </w:pPr>
    </w:p>
    <w:p w:rsidR="00C62F97" w:rsidRDefault="007A663A" w:rsidP="007A663A">
      <w:pPr>
        <w:jc w:val="center"/>
        <w:rPr>
          <w:b/>
          <w:color w:val="00B050"/>
          <w:u w:val="single"/>
        </w:rPr>
      </w:pPr>
      <w:r>
        <w:rPr>
          <w:noProof/>
          <w:lang w:eastAsia="fr-FR"/>
        </w:rPr>
        <w:drawing>
          <wp:inline distT="0" distB="0" distL="0" distR="0" wp14:anchorId="35259451" wp14:editId="7DB7AD8E">
            <wp:extent cx="1447800" cy="819150"/>
            <wp:effectExtent l="0" t="0" r="0" b="0"/>
            <wp:docPr id="1" name="Image 1" descr="ARS_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RS_NA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3A" w:rsidRPr="00BA4FAC" w:rsidRDefault="007A663A" w:rsidP="007A663A">
      <w:pPr>
        <w:jc w:val="center"/>
        <w:rPr>
          <w:b/>
          <w:color w:val="00B050"/>
          <w:u w:val="single"/>
        </w:rPr>
      </w:pPr>
    </w:p>
    <w:p w:rsidR="00555741" w:rsidRDefault="007E6484" w:rsidP="00D142BF">
      <w:pPr>
        <w:pStyle w:val="Titre"/>
        <w:jc w:val="center"/>
        <w:rPr>
          <w:b/>
          <w:sz w:val="36"/>
          <w:szCs w:val="36"/>
        </w:rPr>
      </w:pPr>
      <w:r w:rsidRPr="00B079E1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ANNEXE </w:t>
      </w:r>
      <w:r w:rsidR="006B6768">
        <w:rPr>
          <w:b/>
          <w:sz w:val="36"/>
          <w:szCs w:val="36"/>
        </w:rPr>
        <w:t xml:space="preserve">MEMO </w:t>
      </w:r>
      <w:proofErr w:type="spellStart"/>
      <w:r>
        <w:rPr>
          <w:b/>
          <w:sz w:val="36"/>
          <w:szCs w:val="36"/>
        </w:rPr>
        <w:t>Covid</w:t>
      </w:r>
      <w:proofErr w:type="spellEnd"/>
      <w:r>
        <w:rPr>
          <w:b/>
          <w:sz w:val="36"/>
          <w:szCs w:val="36"/>
        </w:rPr>
        <w:t xml:space="preserve"> n°</w:t>
      </w:r>
      <w:r w:rsidR="00FB408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8</w:t>
      </w:r>
      <w:r w:rsidR="007005F3" w:rsidRPr="00B079E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ESMS</w:t>
      </w:r>
    </w:p>
    <w:p w:rsidR="007005F3" w:rsidRDefault="00C33345" w:rsidP="00D142BF">
      <w:pPr>
        <w:pStyle w:val="Titr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Critères</w:t>
      </w:r>
      <w:r w:rsidR="00555741">
        <w:rPr>
          <w:b/>
          <w:sz w:val="36"/>
          <w:szCs w:val="36"/>
        </w:rPr>
        <w:t xml:space="preserve"> de gravité de l’infection COVID-19</w:t>
      </w:r>
    </w:p>
    <w:p w:rsidR="00555741" w:rsidRPr="00555741" w:rsidRDefault="00555741" w:rsidP="00555741"/>
    <w:p w:rsidR="00555741" w:rsidRPr="00555741" w:rsidRDefault="00555741" w:rsidP="00555741"/>
    <w:p w:rsidR="00D86356" w:rsidRPr="00D71AFA" w:rsidRDefault="00E53EFB" w:rsidP="00BA4FAC">
      <w:pPr>
        <w:jc w:val="center"/>
        <w:rPr>
          <w:rFonts w:asciiTheme="majorHAnsi" w:hAnsiTheme="majorHAnsi"/>
          <w:b/>
          <w:i/>
          <w:color w:val="FF0000"/>
          <w:sz w:val="36"/>
          <w:szCs w:val="36"/>
        </w:rPr>
      </w:pPr>
      <w:r>
        <w:rPr>
          <w:rFonts w:asciiTheme="majorHAnsi" w:hAnsiTheme="majorHAnsi"/>
          <w:b/>
          <w:i/>
          <w:color w:val="FF0000"/>
          <w:sz w:val="36"/>
          <w:szCs w:val="36"/>
        </w:rPr>
        <w:t xml:space="preserve">URGENT - </w:t>
      </w:r>
      <w:r w:rsidR="00D86356" w:rsidRPr="00D71AFA">
        <w:rPr>
          <w:rFonts w:asciiTheme="majorHAnsi" w:hAnsiTheme="majorHAnsi"/>
          <w:b/>
          <w:i/>
          <w:color w:val="FF0000"/>
          <w:sz w:val="36"/>
          <w:szCs w:val="36"/>
        </w:rPr>
        <w:t>POUR MISE EN ŒUVRE SANS DELAI</w:t>
      </w:r>
    </w:p>
    <w:p w:rsidR="00D86356" w:rsidRDefault="00D86356" w:rsidP="00BA4FAC">
      <w:pPr>
        <w:jc w:val="center"/>
        <w:rPr>
          <w:b/>
          <w:color w:val="FF0000"/>
        </w:rPr>
      </w:pPr>
    </w:p>
    <w:p w:rsidR="008F03DD" w:rsidRPr="00580614" w:rsidRDefault="00D142BF" w:rsidP="00BA4FAC">
      <w:pPr>
        <w:jc w:val="center"/>
        <w:rPr>
          <w:b/>
          <w:color w:val="FF0000"/>
        </w:rPr>
      </w:pPr>
      <w:r w:rsidRPr="00580614">
        <w:rPr>
          <w:b/>
          <w:color w:val="FF0000"/>
        </w:rPr>
        <w:t>[</w:t>
      </w:r>
      <w:r w:rsidR="00555741">
        <w:rPr>
          <w:b/>
          <w:color w:val="FF0000"/>
        </w:rPr>
        <w:t>MEMO A DATE DU 19</w:t>
      </w:r>
      <w:r w:rsidR="001E0098">
        <w:rPr>
          <w:b/>
          <w:color w:val="FF0000"/>
        </w:rPr>
        <w:t xml:space="preserve"> </w:t>
      </w:r>
      <w:r w:rsidR="008F03DD" w:rsidRPr="00580614">
        <w:rPr>
          <w:b/>
          <w:color w:val="FF0000"/>
        </w:rPr>
        <w:t>MARS 2020</w:t>
      </w:r>
      <w:r w:rsidR="009469E4">
        <w:rPr>
          <w:b/>
          <w:color w:val="FF0000"/>
        </w:rPr>
        <w:t xml:space="preserve"> – </w:t>
      </w:r>
      <w:r w:rsidR="007F64B3">
        <w:rPr>
          <w:b/>
          <w:color w:val="FF0000"/>
        </w:rPr>
        <w:t>1</w:t>
      </w:r>
      <w:r w:rsidR="00C179C7">
        <w:rPr>
          <w:b/>
          <w:color w:val="FF0000"/>
        </w:rPr>
        <w:t>9</w:t>
      </w:r>
      <w:r w:rsidR="00D71AFA">
        <w:rPr>
          <w:b/>
          <w:color w:val="FF0000"/>
        </w:rPr>
        <w:t>h</w:t>
      </w:r>
      <w:r w:rsidRPr="00580614">
        <w:rPr>
          <w:b/>
          <w:color w:val="FF0000"/>
        </w:rPr>
        <w:t>]</w:t>
      </w:r>
    </w:p>
    <w:p w:rsidR="000D68EE" w:rsidRDefault="000D68EE" w:rsidP="000D68EE">
      <w:pPr>
        <w:jc w:val="both"/>
        <w:rPr>
          <w:b/>
          <w:color w:val="00B050"/>
          <w:u w:val="single"/>
        </w:rPr>
      </w:pPr>
    </w:p>
    <w:p w:rsidR="000D68EE" w:rsidRPr="00D142BF" w:rsidRDefault="006B6768" w:rsidP="000D68EE">
      <w:pPr>
        <w:pStyle w:val="Paragraphedeliste"/>
        <w:numPr>
          <w:ilvl w:val="0"/>
          <w:numId w:val="19"/>
        </w:numPr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>Référence : MEMO</w:t>
      </w:r>
      <w:r w:rsidR="00EF6B35">
        <w:rPr>
          <w:b/>
          <w:i/>
          <w:color w:val="000000" w:themeColor="text1"/>
          <w:u w:val="single"/>
        </w:rPr>
        <w:t>9/19</w:t>
      </w:r>
      <w:r w:rsidR="000D68EE" w:rsidRPr="00D142BF">
        <w:rPr>
          <w:b/>
          <w:i/>
          <w:color w:val="000000" w:themeColor="text1"/>
          <w:u w:val="single"/>
        </w:rPr>
        <w:t>032020/ARSNA-ESMS-COVID-19</w:t>
      </w:r>
    </w:p>
    <w:p w:rsidR="00B40D20" w:rsidRDefault="00B40D20" w:rsidP="00E46A7C">
      <w:pPr>
        <w:jc w:val="both"/>
      </w:pPr>
    </w:p>
    <w:p w:rsidR="00494AF1" w:rsidRPr="00B079E1" w:rsidRDefault="00494AF1" w:rsidP="000D68EE">
      <w:pPr>
        <w:spacing w:after="120"/>
        <w:jc w:val="both"/>
        <w:rPr>
          <w:b/>
          <w:color w:val="17365D" w:themeColor="text2" w:themeShade="BF"/>
          <w:u w:val="single"/>
        </w:rPr>
      </w:pPr>
      <w:r w:rsidRPr="00B079E1">
        <w:rPr>
          <w:b/>
          <w:color w:val="17365D" w:themeColor="text2" w:themeShade="BF"/>
          <w:u w:val="single"/>
        </w:rPr>
        <w:t xml:space="preserve">DESTINATAIRES </w:t>
      </w:r>
    </w:p>
    <w:p w:rsidR="00E46A7C" w:rsidRPr="00B079E1" w:rsidRDefault="00E46A7C" w:rsidP="00580614">
      <w:pPr>
        <w:jc w:val="both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>Mesdames, Messieurs les Directeurs,</w:t>
      </w:r>
    </w:p>
    <w:p w:rsidR="00E46A7C" w:rsidRPr="00B079E1" w:rsidRDefault="00CD0490" w:rsidP="00580614">
      <w:pPr>
        <w:jc w:val="both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 xml:space="preserve">Etablissements et services </w:t>
      </w:r>
      <w:r w:rsidR="000D68EE">
        <w:rPr>
          <w:b/>
          <w:color w:val="17365D" w:themeColor="text2" w:themeShade="BF"/>
        </w:rPr>
        <w:t xml:space="preserve">sociaux et </w:t>
      </w:r>
      <w:r w:rsidRPr="00B079E1">
        <w:rPr>
          <w:b/>
          <w:color w:val="17365D" w:themeColor="text2" w:themeShade="BF"/>
        </w:rPr>
        <w:t>médico-sociaux</w:t>
      </w:r>
    </w:p>
    <w:p w:rsidR="00E46A7C" w:rsidRDefault="000D68EE" w:rsidP="00580614">
      <w:pPr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De  Nouvelle Aquitaine</w:t>
      </w:r>
      <w:bookmarkStart w:id="0" w:name="_GoBack"/>
      <w:bookmarkEnd w:id="0"/>
    </w:p>
    <w:p w:rsidR="000D68EE" w:rsidRDefault="000D68EE" w:rsidP="000D68EE">
      <w:pPr>
        <w:shd w:val="clear" w:color="auto" w:fill="FFFFFF"/>
        <w:spacing w:after="120"/>
        <w:jc w:val="both"/>
        <w:rPr>
          <w:lang w:eastAsia="fr-FR"/>
        </w:rPr>
      </w:pPr>
    </w:p>
    <w:p w:rsidR="00555741" w:rsidRPr="00B079E1" w:rsidRDefault="00555741" w:rsidP="00555741">
      <w:pPr>
        <w:jc w:val="both"/>
        <w:rPr>
          <w:b/>
          <w:color w:val="17365D" w:themeColor="text2" w:themeShade="BF"/>
        </w:rPr>
      </w:pPr>
      <w:r w:rsidRPr="00555741">
        <w:rPr>
          <w:b/>
          <w:color w:val="17365D" w:themeColor="text2" w:themeShade="BF"/>
        </w:rPr>
        <w:t xml:space="preserve">Mesdames, messieurs les médecins coordonnateurs </w:t>
      </w:r>
      <w:r w:rsidRPr="00B079E1">
        <w:rPr>
          <w:b/>
          <w:color w:val="17365D" w:themeColor="text2" w:themeShade="BF"/>
        </w:rPr>
        <w:t xml:space="preserve">Etablissements et services </w:t>
      </w:r>
      <w:r>
        <w:rPr>
          <w:b/>
          <w:color w:val="17365D" w:themeColor="text2" w:themeShade="BF"/>
        </w:rPr>
        <w:t xml:space="preserve">sociaux et </w:t>
      </w:r>
      <w:r w:rsidRPr="00B079E1">
        <w:rPr>
          <w:b/>
          <w:color w:val="17365D" w:themeColor="text2" w:themeShade="BF"/>
        </w:rPr>
        <w:t>médico-sociaux</w:t>
      </w:r>
    </w:p>
    <w:p w:rsidR="00555741" w:rsidRDefault="00555741" w:rsidP="00555741">
      <w:pPr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De  Nouvelle Aquitaine</w:t>
      </w:r>
    </w:p>
    <w:p w:rsidR="00555741" w:rsidRPr="00555741" w:rsidRDefault="00555741" w:rsidP="00555741">
      <w:pPr>
        <w:shd w:val="clear" w:color="auto" w:fill="FFFFFF"/>
        <w:spacing w:after="120"/>
        <w:jc w:val="both"/>
        <w:rPr>
          <w:b/>
          <w:color w:val="17365D" w:themeColor="text2" w:themeShade="BF"/>
        </w:rPr>
      </w:pPr>
    </w:p>
    <w:p w:rsidR="000D68EE" w:rsidRPr="00E53EFB" w:rsidRDefault="001E0098" w:rsidP="00555741">
      <w:pPr>
        <w:shd w:val="clear" w:color="auto" w:fill="FFFFFF"/>
        <w:spacing w:after="120"/>
        <w:jc w:val="both"/>
        <w:rPr>
          <w:color w:val="FF0000"/>
        </w:rPr>
      </w:pPr>
      <w:r>
        <w:rPr>
          <w:b/>
          <w:u w:val="single"/>
        </w:rPr>
        <w:t>Cette annexe</w:t>
      </w:r>
      <w:r w:rsidR="000D68EE" w:rsidRPr="007F64B3">
        <w:rPr>
          <w:b/>
          <w:u w:val="single"/>
        </w:rPr>
        <w:t xml:space="preserve"> </w:t>
      </w:r>
      <w:r w:rsidR="007F64B3" w:rsidRPr="00E53EFB">
        <w:rPr>
          <w:b/>
          <w:color w:val="FF0000"/>
          <w:u w:val="single"/>
        </w:rPr>
        <w:t>ap</w:t>
      </w:r>
      <w:r w:rsidR="000D68EE" w:rsidRPr="00E53EFB">
        <w:rPr>
          <w:b/>
          <w:color w:val="FF0000"/>
          <w:u w:val="single"/>
        </w:rPr>
        <w:t xml:space="preserve">porte </w:t>
      </w:r>
      <w:r w:rsidR="007F64B3" w:rsidRPr="00E53EFB">
        <w:rPr>
          <w:b/>
          <w:color w:val="FF0000"/>
          <w:u w:val="single"/>
        </w:rPr>
        <w:t>des précisions sur</w:t>
      </w:r>
      <w:r w:rsidR="000D68EE" w:rsidRPr="00E53EFB">
        <w:rPr>
          <w:b/>
          <w:color w:val="FF0000"/>
          <w:u w:val="single"/>
        </w:rPr>
        <w:t xml:space="preserve"> </w:t>
      </w:r>
      <w:r w:rsidR="00555741">
        <w:rPr>
          <w:b/>
          <w:color w:val="FF0000"/>
          <w:u w:val="single"/>
        </w:rPr>
        <w:t>les critères de gravité du COVID -19</w:t>
      </w:r>
    </w:p>
    <w:p w:rsidR="00EF6B35" w:rsidRDefault="00C33345" w:rsidP="00BC79FA">
      <w:pPr>
        <w:spacing w:after="120"/>
        <w:jc w:val="both"/>
      </w:pPr>
      <w:r w:rsidRPr="00772ACA">
        <w:rPr>
          <w:u w:val="single"/>
        </w:rPr>
        <w:t>Rappel</w:t>
      </w:r>
      <w:r w:rsidR="00055E67">
        <w:t xml:space="preserve"> : en phase épidémique, les </w:t>
      </w:r>
      <w:r>
        <w:t>personnes</w:t>
      </w:r>
      <w:r w:rsidR="00055E67">
        <w:t xml:space="preserve"> </w:t>
      </w:r>
      <w:r w:rsidR="00772ACA">
        <w:t>présentant</w:t>
      </w:r>
      <w:r w:rsidR="00055E67">
        <w:t xml:space="preserve"> des signes de COVID-19 ne sont plus </w:t>
      </w:r>
      <w:r w:rsidR="00772ACA">
        <w:t>systématiquement</w:t>
      </w:r>
      <w:r w:rsidR="00055E67">
        <w:t xml:space="preserve"> confirmées par des tests biologiques. </w:t>
      </w:r>
    </w:p>
    <w:p w:rsidR="003E54EF" w:rsidRDefault="00772ACA" w:rsidP="003E54EF">
      <w:pPr>
        <w:spacing w:after="120"/>
        <w:jc w:val="both"/>
      </w:pPr>
      <w:r>
        <w:t>P</w:t>
      </w:r>
      <w:r w:rsidR="00055E67">
        <w:t xml:space="preserve">ar contre, les 3 premiers cas de résidents </w:t>
      </w:r>
      <w:r w:rsidR="00C33345">
        <w:t>d’EHPADS,</w:t>
      </w:r>
      <w:r w:rsidR="00055E67">
        <w:t xml:space="preserve"> en </w:t>
      </w:r>
      <w:r w:rsidR="00EF6B35">
        <w:t>structures</w:t>
      </w:r>
      <w:r w:rsidR="00055E67">
        <w:t xml:space="preserve"> collectives hébergeant des personnes vulnérables et présenta</w:t>
      </w:r>
      <w:r w:rsidR="007115DB">
        <w:t>nt</w:t>
      </w:r>
      <w:r w:rsidR="00055E67">
        <w:t xml:space="preserve"> un tableau </w:t>
      </w:r>
      <w:r w:rsidR="00EF6B35">
        <w:t>clinique</w:t>
      </w:r>
      <w:r w:rsidR="00055E67">
        <w:t xml:space="preserve"> évocateur de COVID-19</w:t>
      </w:r>
      <w:r w:rsidR="00C33345">
        <w:t>,</w:t>
      </w:r>
      <w:r w:rsidR="00055E67">
        <w:t xml:space="preserve"> </w:t>
      </w:r>
      <w:r w:rsidR="003E54EF">
        <w:t>doivent être prélevés et testés afin de confirmer la présence d’un foyer infectieux COVID-19 (retour de la positivité de 2 tests)</w:t>
      </w:r>
      <w:r w:rsidR="003E54EF">
        <w:t>.</w:t>
      </w:r>
    </w:p>
    <w:p w:rsidR="003E54EF" w:rsidRDefault="003E54EF" w:rsidP="003E54EF">
      <w:pPr>
        <w:spacing w:after="120"/>
        <w:jc w:val="both"/>
      </w:pPr>
      <w:r>
        <w:t>A partir du second cas confirmé, toute personne présentant un état symptomatique identique ou proche est présumée infectée par le virus.</w:t>
      </w:r>
    </w:p>
    <w:p w:rsidR="003E54EF" w:rsidRDefault="003E54EF" w:rsidP="003E54EF">
      <w:pPr>
        <w:spacing w:after="120"/>
        <w:jc w:val="both"/>
      </w:pPr>
    </w:p>
    <w:p w:rsidR="003E54EF" w:rsidRDefault="003E54EF" w:rsidP="003E54EF">
      <w:pPr>
        <w:spacing w:after="120"/>
        <w:jc w:val="both"/>
      </w:pPr>
      <w:r>
        <w:t xml:space="preserve">Les personnes âgées, particulièrement celles vivant en collectivité présentent une vulnérabilité au virus compte tenu de leur fragilité et des facteurs de sensibilité propres aux sujets âgés. </w:t>
      </w:r>
    </w:p>
    <w:p w:rsidR="00A5713E" w:rsidRDefault="00A5713E" w:rsidP="003E54EF">
      <w:pPr>
        <w:spacing w:after="120"/>
        <w:jc w:val="both"/>
      </w:pPr>
      <w:r>
        <w:br w:type="page"/>
      </w:r>
    </w:p>
    <w:p w:rsidR="007F64B3" w:rsidRDefault="007F64B3" w:rsidP="006F4B8A">
      <w:pPr>
        <w:spacing w:after="120"/>
        <w:jc w:val="both"/>
        <w:rPr>
          <w:b/>
          <w:u w:val="single"/>
        </w:rPr>
      </w:pPr>
    </w:p>
    <w:p w:rsidR="00DB45C8" w:rsidRDefault="00DB45C8" w:rsidP="006F4B8A">
      <w:pPr>
        <w:spacing w:after="120"/>
        <w:jc w:val="both"/>
        <w:rPr>
          <w:b/>
          <w:u w:val="single"/>
        </w:rPr>
      </w:pPr>
    </w:p>
    <w:p w:rsidR="00E53EFB" w:rsidRDefault="00E53EFB" w:rsidP="006F4B8A">
      <w:pPr>
        <w:spacing w:after="120"/>
        <w:jc w:val="both"/>
        <w:rPr>
          <w:b/>
          <w:u w:val="single"/>
        </w:rPr>
      </w:pPr>
    </w:p>
    <w:p w:rsidR="000D68EE" w:rsidRPr="00FD42DF" w:rsidRDefault="00A5713E" w:rsidP="00FD42DF">
      <w:pPr>
        <w:pStyle w:val="Paragraphedeliste"/>
        <w:numPr>
          <w:ilvl w:val="0"/>
          <w:numId w:val="41"/>
        </w:numPr>
        <w:spacing w:after="120"/>
        <w:jc w:val="both"/>
        <w:rPr>
          <w:b/>
          <w:u w:val="single"/>
        </w:rPr>
      </w:pPr>
      <w:r w:rsidRPr="00FD42DF">
        <w:rPr>
          <w:b/>
          <w:u w:val="single"/>
        </w:rPr>
        <w:t xml:space="preserve"> </w:t>
      </w:r>
      <w:r w:rsidR="00555741" w:rsidRPr="00FD42DF">
        <w:rPr>
          <w:b/>
          <w:u w:val="single"/>
        </w:rPr>
        <w:t>le résident suspect de COVID-19</w:t>
      </w:r>
    </w:p>
    <w:p w:rsidR="00E53EFB" w:rsidRPr="00555741" w:rsidRDefault="00555741" w:rsidP="00E53EFB">
      <w:pPr>
        <w:pStyle w:val="Paragraphedeliste"/>
        <w:numPr>
          <w:ilvl w:val="0"/>
          <w:numId w:val="19"/>
        </w:numPr>
        <w:autoSpaceDE w:val="0"/>
        <w:autoSpaceDN w:val="0"/>
        <w:spacing w:after="120"/>
        <w:jc w:val="both"/>
        <w:rPr>
          <w:b/>
          <w:lang w:eastAsia="fr-FR"/>
        </w:rPr>
      </w:pPr>
      <w:r>
        <w:rPr>
          <w:lang w:eastAsia="fr-FR"/>
        </w:rPr>
        <w:t xml:space="preserve">peut présenter des signes </w:t>
      </w:r>
      <w:r w:rsidR="00DC520E">
        <w:rPr>
          <w:lang w:eastAsia="fr-FR"/>
        </w:rPr>
        <w:t>cliniques</w:t>
      </w:r>
    </w:p>
    <w:p w:rsidR="00055E67" w:rsidRPr="00EF6B35" w:rsidRDefault="00055E67" w:rsidP="00EF6B35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 xml:space="preserve">d’un </w:t>
      </w:r>
      <w:r w:rsidR="00555741">
        <w:rPr>
          <w:lang w:eastAsia="fr-FR"/>
        </w:rPr>
        <w:t>syndrome viral (</w:t>
      </w:r>
      <w:r w:rsidR="00DC520E">
        <w:rPr>
          <w:lang w:eastAsia="fr-FR"/>
        </w:rPr>
        <w:t>fièvre</w:t>
      </w:r>
      <w:r>
        <w:rPr>
          <w:lang w:eastAsia="fr-FR"/>
        </w:rPr>
        <w:t>, courbatures</w:t>
      </w:r>
      <w:r w:rsidR="00555741">
        <w:rPr>
          <w:lang w:eastAsia="fr-FR"/>
        </w:rPr>
        <w:t>,</w:t>
      </w:r>
      <w:r w:rsidR="00EF6B35">
        <w:rPr>
          <w:lang w:eastAsia="fr-FR"/>
        </w:rPr>
        <w:t xml:space="preserve"> friss</w:t>
      </w:r>
      <w:r w:rsidR="00FD42DF">
        <w:rPr>
          <w:lang w:eastAsia="fr-FR"/>
        </w:rPr>
        <w:t xml:space="preserve">ons, </w:t>
      </w:r>
      <w:r w:rsidR="00555741">
        <w:rPr>
          <w:lang w:eastAsia="fr-FR"/>
        </w:rPr>
        <w:t xml:space="preserve"> ..). la température doit être prise de façon fiable</w:t>
      </w:r>
      <w:r w:rsidR="00C33345">
        <w:rPr>
          <w:lang w:eastAsia="fr-FR"/>
        </w:rPr>
        <w:t>.</w:t>
      </w:r>
    </w:p>
    <w:p w:rsidR="00055E67" w:rsidRPr="00EF6B35" w:rsidRDefault="00055E67" w:rsidP="00EF6B35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D’atteinte infectieuse respiratoire basse d’allure virale ou bactérienne (toux sèche, toux grasse avec ou sans expectoration)</w:t>
      </w:r>
    </w:p>
    <w:p w:rsidR="00195A9C" w:rsidRDefault="00195A9C" w:rsidP="00195A9C">
      <w:pPr>
        <w:autoSpaceDE w:val="0"/>
        <w:autoSpaceDN w:val="0"/>
        <w:jc w:val="both"/>
        <w:rPr>
          <w:lang w:eastAsia="fr-FR"/>
        </w:rPr>
      </w:pPr>
    </w:p>
    <w:p w:rsidR="00701B78" w:rsidRPr="00FD42DF" w:rsidRDefault="00701B78" w:rsidP="00FD42DF">
      <w:pPr>
        <w:pStyle w:val="Paragraphedeliste"/>
        <w:numPr>
          <w:ilvl w:val="0"/>
          <w:numId w:val="41"/>
        </w:numPr>
        <w:spacing w:after="120"/>
        <w:jc w:val="both"/>
        <w:rPr>
          <w:b/>
          <w:u w:val="single"/>
        </w:rPr>
      </w:pPr>
      <w:r w:rsidRPr="00FD42DF">
        <w:rPr>
          <w:b/>
          <w:u w:val="single"/>
        </w:rPr>
        <w:t xml:space="preserve"> </w:t>
      </w:r>
      <w:r w:rsidR="00DC520E" w:rsidRPr="00FD42DF">
        <w:rPr>
          <w:b/>
          <w:u w:val="single"/>
        </w:rPr>
        <w:t>critères de gravité devant condui</w:t>
      </w:r>
      <w:r w:rsidR="00C33345">
        <w:rPr>
          <w:b/>
          <w:u w:val="single"/>
        </w:rPr>
        <w:t>re</w:t>
      </w:r>
      <w:r w:rsidR="00DC520E" w:rsidRPr="00FD42DF">
        <w:rPr>
          <w:b/>
          <w:u w:val="single"/>
        </w:rPr>
        <w:t xml:space="preserve"> à une décision d’hospitalisation</w:t>
      </w:r>
    </w:p>
    <w:p w:rsidR="00195A9C" w:rsidRPr="007045CA" w:rsidRDefault="00195A9C" w:rsidP="00701B78">
      <w:pPr>
        <w:autoSpaceDE w:val="0"/>
        <w:autoSpaceDN w:val="0"/>
        <w:jc w:val="both"/>
        <w:rPr>
          <w:lang w:eastAsia="fr-FR"/>
        </w:rPr>
      </w:pPr>
    </w:p>
    <w:p w:rsidR="00DC520E" w:rsidRDefault="00DC520E" w:rsidP="00DC520E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dyspnée, polypnée avec fréquence respiratoire &gt; 22/mn</w:t>
      </w:r>
    </w:p>
    <w:p w:rsidR="00DC520E" w:rsidRDefault="00DC520E" w:rsidP="00DC520E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SAO2 &lt; 90% en air ambiant</w:t>
      </w:r>
    </w:p>
    <w:p w:rsidR="00DC520E" w:rsidRDefault="00DC520E" w:rsidP="00DC520E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proofErr w:type="spellStart"/>
      <w:r>
        <w:rPr>
          <w:lang w:eastAsia="fr-FR"/>
        </w:rPr>
        <w:t>PAs</w:t>
      </w:r>
      <w:proofErr w:type="spellEnd"/>
      <w:r>
        <w:rPr>
          <w:lang w:eastAsia="fr-FR"/>
        </w:rPr>
        <w:t xml:space="preserve"> &lt; 9 mn Hg</w:t>
      </w:r>
    </w:p>
    <w:p w:rsidR="00DC520E" w:rsidRDefault="00DC520E" w:rsidP="00DC520E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 xml:space="preserve">altération de </w:t>
      </w:r>
      <w:proofErr w:type="spellStart"/>
      <w:r>
        <w:rPr>
          <w:lang w:eastAsia="fr-FR"/>
        </w:rPr>
        <w:t>l</w:t>
      </w:r>
      <w:proofErr w:type="spellEnd"/>
      <w:r>
        <w:rPr>
          <w:lang w:eastAsia="fr-FR"/>
        </w:rPr>
        <w:t xml:space="preserve"> conscience, confusion, somnolence</w:t>
      </w:r>
    </w:p>
    <w:p w:rsidR="00DC520E" w:rsidRDefault="00DC520E" w:rsidP="00DC520E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déshydratation</w:t>
      </w:r>
    </w:p>
    <w:p w:rsidR="00DC520E" w:rsidRDefault="00DC520E" w:rsidP="00DC520E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altération brutale de l’état général</w:t>
      </w:r>
    </w:p>
    <w:p w:rsidR="00772ACA" w:rsidRDefault="00772ACA" w:rsidP="00DC520E">
      <w:pPr>
        <w:autoSpaceDE w:val="0"/>
        <w:autoSpaceDN w:val="0"/>
        <w:spacing w:after="120"/>
        <w:jc w:val="both"/>
        <w:rPr>
          <w:lang w:eastAsia="fr-FR"/>
        </w:rPr>
      </w:pPr>
    </w:p>
    <w:p w:rsidR="00DC520E" w:rsidRPr="00772ACA" w:rsidRDefault="00772ACA" w:rsidP="00DC520E">
      <w:pPr>
        <w:autoSpaceDE w:val="0"/>
        <w:autoSpaceDN w:val="0"/>
        <w:spacing w:after="120"/>
        <w:jc w:val="both"/>
        <w:rPr>
          <w:b/>
          <w:lang w:eastAsia="fr-FR"/>
        </w:rPr>
      </w:pPr>
      <w:r w:rsidRPr="00772ACA">
        <w:rPr>
          <w:b/>
          <w:lang w:eastAsia="fr-FR"/>
        </w:rPr>
        <w:t xml:space="preserve">L’apparition de  </w:t>
      </w:r>
      <w:r w:rsidR="00C33345">
        <w:rPr>
          <w:b/>
          <w:lang w:eastAsia="fr-FR"/>
        </w:rPr>
        <w:t>c</w:t>
      </w:r>
      <w:r w:rsidRPr="00772ACA">
        <w:rPr>
          <w:b/>
          <w:lang w:eastAsia="fr-FR"/>
        </w:rPr>
        <w:t>es critères ainsi que t</w:t>
      </w:r>
      <w:r w:rsidR="00DC520E" w:rsidRPr="00772ACA">
        <w:rPr>
          <w:b/>
          <w:lang w:eastAsia="fr-FR"/>
        </w:rPr>
        <w:t xml:space="preserve">out tableau clinique de syndrome de  détresse respiratoire </w:t>
      </w:r>
      <w:r w:rsidR="00C33345" w:rsidRPr="00772ACA">
        <w:rPr>
          <w:b/>
          <w:lang w:eastAsia="fr-FR"/>
        </w:rPr>
        <w:t>aigü</w:t>
      </w:r>
      <w:r w:rsidR="00C33345">
        <w:rPr>
          <w:b/>
          <w:lang w:eastAsia="fr-FR"/>
        </w:rPr>
        <w:t>e</w:t>
      </w:r>
      <w:r w:rsidR="00DC520E" w:rsidRPr="00772ACA">
        <w:rPr>
          <w:b/>
          <w:lang w:eastAsia="fr-FR"/>
        </w:rPr>
        <w:t xml:space="preserve"> (SDRA) doit conduire à l’appel du 15.</w:t>
      </w:r>
    </w:p>
    <w:p w:rsidR="007045CA" w:rsidRPr="007045CA" w:rsidRDefault="007045CA" w:rsidP="00DC520E">
      <w:pPr>
        <w:pStyle w:val="Paragraphedeliste"/>
        <w:autoSpaceDE w:val="0"/>
        <w:autoSpaceDN w:val="0"/>
        <w:spacing w:after="120"/>
        <w:ind w:left="360"/>
        <w:jc w:val="both"/>
        <w:rPr>
          <w:lang w:eastAsia="fr-FR"/>
        </w:rPr>
      </w:pPr>
    </w:p>
    <w:p w:rsidR="007F64B3" w:rsidRPr="00FD42DF" w:rsidRDefault="00055E67" w:rsidP="00FD42DF">
      <w:pPr>
        <w:pStyle w:val="Paragraphedeliste"/>
        <w:numPr>
          <w:ilvl w:val="0"/>
          <w:numId w:val="41"/>
        </w:numPr>
        <w:spacing w:after="120"/>
        <w:jc w:val="both"/>
        <w:rPr>
          <w:b/>
          <w:u w:val="single"/>
        </w:rPr>
      </w:pPr>
      <w:r w:rsidRPr="00FD42DF">
        <w:rPr>
          <w:b/>
          <w:u w:val="single"/>
        </w:rPr>
        <w:t xml:space="preserve"> les comorbidités aggravantes</w:t>
      </w:r>
    </w:p>
    <w:p w:rsidR="00140C2A" w:rsidRDefault="00C33345" w:rsidP="00701B78">
      <w:pPr>
        <w:spacing w:after="120"/>
        <w:jc w:val="both"/>
      </w:pPr>
      <w:r>
        <w:t>Ces</w:t>
      </w:r>
      <w:r w:rsidR="00055E67">
        <w:t xml:space="preserve"> pathologies </w:t>
      </w:r>
      <w:r w:rsidR="00140C2A">
        <w:t xml:space="preserve">favorisent l’évolution péjorative de </w:t>
      </w:r>
      <w:r w:rsidR="00FD42DF">
        <w:t>la</w:t>
      </w:r>
      <w:r w:rsidR="00140C2A">
        <w:t xml:space="preserve"> maladie et majorent le risque de décès.</w:t>
      </w:r>
    </w:p>
    <w:p w:rsidR="00140C2A" w:rsidRDefault="00140C2A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personne</w:t>
      </w:r>
      <w:r w:rsidR="00FD42DF">
        <w:rPr>
          <w:lang w:eastAsia="fr-FR"/>
        </w:rPr>
        <w:t>s</w:t>
      </w:r>
      <w:r>
        <w:rPr>
          <w:lang w:eastAsia="fr-FR"/>
        </w:rPr>
        <w:t xml:space="preserve"> </w:t>
      </w:r>
      <w:r w:rsidR="00FD42DF">
        <w:rPr>
          <w:lang w:eastAsia="fr-FR"/>
        </w:rPr>
        <w:t>âgées</w:t>
      </w:r>
      <w:r>
        <w:rPr>
          <w:lang w:eastAsia="fr-FR"/>
        </w:rPr>
        <w:t xml:space="preserve"> de plus de 70 </w:t>
      </w:r>
      <w:r w:rsidR="00FD42DF">
        <w:rPr>
          <w:lang w:eastAsia="fr-FR"/>
        </w:rPr>
        <w:t>ans</w:t>
      </w:r>
    </w:p>
    <w:p w:rsidR="0015678A" w:rsidRDefault="00140C2A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 xml:space="preserve">insuffisance respiratoire chronique </w:t>
      </w:r>
      <w:proofErr w:type="spellStart"/>
      <w:r>
        <w:rPr>
          <w:lang w:eastAsia="fr-FR"/>
        </w:rPr>
        <w:t>oxygénodépendante</w:t>
      </w:r>
      <w:proofErr w:type="spellEnd"/>
      <w:r>
        <w:rPr>
          <w:lang w:eastAsia="fr-FR"/>
        </w:rPr>
        <w:t xml:space="preserve"> ou asthme ou mucoviscidose</w:t>
      </w:r>
    </w:p>
    <w:p w:rsidR="00140C2A" w:rsidRDefault="00FD42DF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Insuffisance</w:t>
      </w:r>
      <w:r w:rsidR="00140C2A">
        <w:rPr>
          <w:lang w:eastAsia="fr-FR"/>
        </w:rPr>
        <w:t xml:space="preserve"> cardiaque NYHA stade III ou IV</w:t>
      </w:r>
    </w:p>
    <w:p w:rsidR="00140C2A" w:rsidRDefault="00140C2A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Cirrhose stade B et +</w:t>
      </w:r>
    </w:p>
    <w:p w:rsidR="00140C2A" w:rsidRDefault="00FD42DF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antécédents</w:t>
      </w:r>
      <w:r w:rsidR="00140C2A">
        <w:rPr>
          <w:lang w:eastAsia="fr-FR"/>
        </w:rPr>
        <w:t xml:space="preserve"> cardiovasculaires : hypertension, artérielle, coronaropathie, chirurgie </w:t>
      </w:r>
      <w:r>
        <w:rPr>
          <w:lang w:eastAsia="fr-FR"/>
        </w:rPr>
        <w:t>cardiaques</w:t>
      </w:r>
    </w:p>
    <w:p w:rsidR="00140C2A" w:rsidRDefault="00FD42DF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antécédents</w:t>
      </w:r>
      <w:r w:rsidR="00140C2A">
        <w:rPr>
          <w:lang w:eastAsia="fr-FR"/>
        </w:rPr>
        <w:t xml:space="preserve"> d’</w:t>
      </w:r>
      <w:r>
        <w:rPr>
          <w:lang w:eastAsia="fr-FR"/>
        </w:rPr>
        <w:t>acci</w:t>
      </w:r>
      <w:r w:rsidR="00140C2A">
        <w:rPr>
          <w:lang w:eastAsia="fr-FR"/>
        </w:rPr>
        <w:t xml:space="preserve">dent </w:t>
      </w:r>
      <w:r>
        <w:rPr>
          <w:lang w:eastAsia="fr-FR"/>
        </w:rPr>
        <w:t>vasculaire</w:t>
      </w:r>
      <w:r w:rsidR="00140C2A">
        <w:rPr>
          <w:lang w:eastAsia="fr-FR"/>
        </w:rPr>
        <w:t xml:space="preserve"> cérébral</w:t>
      </w:r>
    </w:p>
    <w:p w:rsidR="00140C2A" w:rsidRDefault="00140C2A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diabète insulino-dépendant avec complications vasculaires</w:t>
      </w:r>
    </w:p>
    <w:p w:rsidR="00FD42DF" w:rsidRDefault="00FD42DF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 xml:space="preserve">immunosuppression : </w:t>
      </w:r>
    </w:p>
    <w:p w:rsidR="00140C2A" w:rsidRDefault="00FD42DF" w:rsidP="00FD42DF">
      <w:pPr>
        <w:pStyle w:val="Paragraphedeliste"/>
        <w:numPr>
          <w:ilvl w:val="1"/>
          <w:numId w:val="40"/>
        </w:numPr>
        <w:autoSpaceDE w:val="0"/>
        <w:autoSpaceDN w:val="0"/>
        <w:rPr>
          <w:lang w:eastAsia="fr-FR"/>
        </w:rPr>
      </w:pPr>
      <w:r>
        <w:rPr>
          <w:lang w:eastAsia="fr-FR"/>
        </w:rPr>
        <w:t>médicamenteuse : chimiothérapie anticancéreuse, traitement immunosuppresseur, biothérapies et/ou corticothérapie à dises immunosuppressives</w:t>
      </w:r>
    </w:p>
    <w:p w:rsidR="00FD42DF" w:rsidRDefault="00FD42DF" w:rsidP="00FD42DF">
      <w:pPr>
        <w:pStyle w:val="Paragraphedeliste"/>
        <w:numPr>
          <w:ilvl w:val="1"/>
          <w:numId w:val="40"/>
        </w:numPr>
        <w:autoSpaceDE w:val="0"/>
        <w:autoSpaceDN w:val="0"/>
        <w:rPr>
          <w:lang w:eastAsia="fr-FR"/>
        </w:rPr>
      </w:pPr>
      <w:r>
        <w:rPr>
          <w:lang w:eastAsia="fr-FR"/>
        </w:rPr>
        <w:t>infection à VIH non contrôlée</w:t>
      </w:r>
    </w:p>
    <w:p w:rsidR="00FD42DF" w:rsidRDefault="00FD42DF" w:rsidP="00FD42DF">
      <w:pPr>
        <w:pStyle w:val="Paragraphedeliste"/>
        <w:numPr>
          <w:ilvl w:val="1"/>
          <w:numId w:val="40"/>
        </w:numPr>
        <w:autoSpaceDE w:val="0"/>
        <w:autoSpaceDN w:val="0"/>
        <w:rPr>
          <w:lang w:eastAsia="fr-FR"/>
        </w:rPr>
      </w:pPr>
      <w:r>
        <w:rPr>
          <w:lang w:eastAsia="fr-FR"/>
        </w:rPr>
        <w:t>greffes d’organes ou cellules souches</w:t>
      </w:r>
    </w:p>
    <w:p w:rsidR="00FD42DF" w:rsidRDefault="00FD42DF" w:rsidP="00FD42DF">
      <w:pPr>
        <w:pStyle w:val="Paragraphedeliste"/>
        <w:numPr>
          <w:ilvl w:val="1"/>
          <w:numId w:val="40"/>
        </w:numPr>
        <w:autoSpaceDE w:val="0"/>
        <w:autoSpaceDN w:val="0"/>
        <w:rPr>
          <w:lang w:eastAsia="fr-FR"/>
        </w:rPr>
      </w:pPr>
      <w:r>
        <w:rPr>
          <w:lang w:eastAsia="fr-FR"/>
        </w:rPr>
        <w:t>cancer métastasé</w:t>
      </w:r>
    </w:p>
    <w:p w:rsidR="00FD42DF" w:rsidRDefault="00FD42DF" w:rsidP="00FD42DF">
      <w:pPr>
        <w:pStyle w:val="Paragraphedeliste"/>
        <w:numPr>
          <w:ilvl w:val="0"/>
          <w:numId w:val="39"/>
        </w:numPr>
        <w:autoSpaceDE w:val="0"/>
        <w:autoSpaceDN w:val="0"/>
        <w:ind w:left="1066" w:firstLine="0"/>
        <w:rPr>
          <w:lang w:eastAsia="fr-FR"/>
        </w:rPr>
      </w:pPr>
      <w:r>
        <w:rPr>
          <w:lang w:eastAsia="fr-FR"/>
        </w:rPr>
        <w:t>obésité morbide (IMC &gt; 40)</w:t>
      </w:r>
    </w:p>
    <w:p w:rsidR="00FD42DF" w:rsidRDefault="00FD42DF" w:rsidP="00FD42DF">
      <w:pPr>
        <w:autoSpaceDE w:val="0"/>
        <w:autoSpaceDN w:val="0"/>
        <w:rPr>
          <w:lang w:eastAsia="fr-FR"/>
        </w:rPr>
      </w:pPr>
    </w:p>
    <w:p w:rsidR="007F1AEE" w:rsidRDefault="007F1AEE" w:rsidP="00913EA1">
      <w:pPr>
        <w:autoSpaceDE w:val="0"/>
        <w:autoSpaceDN w:val="0"/>
        <w:rPr>
          <w:lang w:eastAsia="fr-FR"/>
        </w:rPr>
      </w:pPr>
    </w:p>
    <w:p w:rsidR="00913EA1" w:rsidRDefault="00913EA1" w:rsidP="00913EA1">
      <w:pPr>
        <w:autoSpaceDE w:val="0"/>
        <w:autoSpaceDN w:val="0"/>
        <w:rPr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b/>
          <w:noProof/>
          <w:lang w:eastAsia="fr-FR"/>
        </w:rPr>
        <w:sectPr w:rsidR="00913EA1" w:rsidSect="005A3C2D">
          <w:pgSz w:w="11906" w:h="16838"/>
          <w:pgMar w:top="425" w:right="1134" w:bottom="284" w:left="1134" w:header="709" w:footer="709" w:gutter="0"/>
          <w:cols w:space="708"/>
          <w:docGrid w:linePitch="360"/>
        </w:sectPr>
      </w:pPr>
    </w:p>
    <w:p w:rsidR="00913EA1" w:rsidRPr="00913EA1" w:rsidRDefault="00913EA1" w:rsidP="00913EA1">
      <w:pPr>
        <w:autoSpaceDE w:val="0"/>
        <w:autoSpaceDN w:val="0"/>
        <w:rPr>
          <w:b/>
          <w:noProof/>
          <w:lang w:eastAsia="fr-FR"/>
        </w:rPr>
      </w:pPr>
      <w:r>
        <w:rPr>
          <w:b/>
          <w:noProof/>
          <w:lang w:eastAsia="fr-FR"/>
        </w:rPr>
        <w:lastRenderedPageBreak/>
        <w:t xml:space="preserve"> Aide à la dé</w:t>
      </w:r>
      <w:r w:rsidRPr="00913EA1">
        <w:rPr>
          <w:b/>
          <w:noProof/>
          <w:lang w:eastAsia="fr-FR"/>
        </w:rPr>
        <w:t>cision</w:t>
      </w: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noProof/>
          <w:lang w:eastAsia="fr-FR"/>
        </w:rPr>
      </w:pPr>
    </w:p>
    <w:p w:rsidR="00913EA1" w:rsidRDefault="00913EA1" w:rsidP="00913EA1">
      <w:pPr>
        <w:autoSpaceDE w:val="0"/>
        <w:autoSpaceDN w:val="0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5A47789B" wp14:editId="02EAC64D">
            <wp:extent cx="9839325" cy="5541027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43041" cy="55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AEE" w:rsidRDefault="007F1AEE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p w:rsidR="00913EA1" w:rsidRDefault="00913EA1" w:rsidP="00FD42DF">
      <w:pPr>
        <w:autoSpaceDE w:val="0"/>
        <w:autoSpaceDN w:val="0"/>
        <w:rPr>
          <w:rFonts w:ascii="Arial" w:eastAsia="Times New Roman" w:hAnsi="Arial" w:cs="Arial"/>
          <w:color w:val="FFFFFF"/>
          <w:sz w:val="4"/>
          <w:szCs w:val="4"/>
          <w:lang w:eastAsia="fr-FR"/>
        </w:rPr>
      </w:pPr>
    </w:p>
    <w:sectPr w:rsidR="00913EA1" w:rsidSect="00913EA1">
      <w:pgSz w:w="16838" w:h="11906" w:orient="landscape"/>
      <w:pgMar w:top="1134" w:right="425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88" w:rsidRDefault="00460988" w:rsidP="00C62F97">
      <w:r>
        <w:separator/>
      </w:r>
    </w:p>
  </w:endnote>
  <w:endnote w:type="continuationSeparator" w:id="0">
    <w:p w:rsidR="00460988" w:rsidRDefault="00460988" w:rsidP="00C6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88" w:rsidRDefault="00460988" w:rsidP="00C62F97">
      <w:r>
        <w:separator/>
      </w:r>
    </w:p>
  </w:footnote>
  <w:footnote w:type="continuationSeparator" w:id="0">
    <w:p w:rsidR="00460988" w:rsidRDefault="00460988" w:rsidP="00C6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E2"/>
    <w:multiLevelType w:val="hybridMultilevel"/>
    <w:tmpl w:val="1D28EF9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192AE2"/>
    <w:multiLevelType w:val="hybridMultilevel"/>
    <w:tmpl w:val="DD0001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B55DE"/>
    <w:multiLevelType w:val="hybridMultilevel"/>
    <w:tmpl w:val="8E2E1B1A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614BD"/>
    <w:multiLevelType w:val="hybridMultilevel"/>
    <w:tmpl w:val="8294E7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4279B"/>
    <w:multiLevelType w:val="hybridMultilevel"/>
    <w:tmpl w:val="2E2E0B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F17AE"/>
    <w:multiLevelType w:val="hybridMultilevel"/>
    <w:tmpl w:val="20CA2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227D6"/>
    <w:multiLevelType w:val="hybridMultilevel"/>
    <w:tmpl w:val="F3BE6F58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14361CF8"/>
    <w:multiLevelType w:val="hybridMultilevel"/>
    <w:tmpl w:val="FA0C4A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8247B"/>
    <w:multiLevelType w:val="multilevel"/>
    <w:tmpl w:val="6BD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977D27"/>
    <w:multiLevelType w:val="hybridMultilevel"/>
    <w:tmpl w:val="1C9E5C4C"/>
    <w:lvl w:ilvl="0" w:tplc="BEF0A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00206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D3AC9"/>
    <w:multiLevelType w:val="hybridMultilevel"/>
    <w:tmpl w:val="06A2DDBE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19FC1861"/>
    <w:multiLevelType w:val="hybridMultilevel"/>
    <w:tmpl w:val="F76698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C3CDB"/>
    <w:multiLevelType w:val="hybridMultilevel"/>
    <w:tmpl w:val="B8508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5276C"/>
    <w:multiLevelType w:val="hybridMultilevel"/>
    <w:tmpl w:val="22E2A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05197"/>
    <w:multiLevelType w:val="hybridMultilevel"/>
    <w:tmpl w:val="A490AF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0C1781"/>
    <w:multiLevelType w:val="hybridMultilevel"/>
    <w:tmpl w:val="B1DE1DF6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72D1A23"/>
    <w:multiLevelType w:val="hybridMultilevel"/>
    <w:tmpl w:val="BBE4B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AF669C"/>
    <w:multiLevelType w:val="hybridMultilevel"/>
    <w:tmpl w:val="36942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52D29"/>
    <w:multiLevelType w:val="hybridMultilevel"/>
    <w:tmpl w:val="4F922E2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3562111"/>
    <w:multiLevelType w:val="hybridMultilevel"/>
    <w:tmpl w:val="7374BA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C2D37"/>
    <w:multiLevelType w:val="hybridMultilevel"/>
    <w:tmpl w:val="47E461C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C2CD2"/>
    <w:multiLevelType w:val="hybridMultilevel"/>
    <w:tmpl w:val="BC6030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67325C"/>
    <w:multiLevelType w:val="hybridMultilevel"/>
    <w:tmpl w:val="6330C2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A87196A"/>
    <w:multiLevelType w:val="hybridMultilevel"/>
    <w:tmpl w:val="7A3CE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911CE"/>
    <w:multiLevelType w:val="hybridMultilevel"/>
    <w:tmpl w:val="EE70E6E6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BF26AF"/>
    <w:multiLevelType w:val="hybridMultilevel"/>
    <w:tmpl w:val="765069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B78A3"/>
    <w:multiLevelType w:val="hybridMultilevel"/>
    <w:tmpl w:val="B45245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9055FD"/>
    <w:multiLevelType w:val="hybridMultilevel"/>
    <w:tmpl w:val="2A06968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AB4C22"/>
    <w:multiLevelType w:val="hybridMultilevel"/>
    <w:tmpl w:val="16A0403A"/>
    <w:lvl w:ilvl="0" w:tplc="04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50FF1BB9"/>
    <w:multiLevelType w:val="hybridMultilevel"/>
    <w:tmpl w:val="6770A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F030C2"/>
    <w:multiLevelType w:val="hybridMultilevel"/>
    <w:tmpl w:val="6DC0F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B22E8"/>
    <w:multiLevelType w:val="multilevel"/>
    <w:tmpl w:val="8FF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9636C92"/>
    <w:multiLevelType w:val="hybridMultilevel"/>
    <w:tmpl w:val="DE422E6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>
    <w:nsid w:val="63D94D3D"/>
    <w:multiLevelType w:val="hybridMultilevel"/>
    <w:tmpl w:val="AE0A40F0"/>
    <w:lvl w:ilvl="0" w:tplc="8ECA86C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7895"/>
    <w:multiLevelType w:val="hybridMultilevel"/>
    <w:tmpl w:val="65526A9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6CAD7145"/>
    <w:multiLevelType w:val="hybridMultilevel"/>
    <w:tmpl w:val="4AEE1E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860D08"/>
    <w:multiLevelType w:val="hybridMultilevel"/>
    <w:tmpl w:val="4D2042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240056"/>
    <w:multiLevelType w:val="hybridMultilevel"/>
    <w:tmpl w:val="E12E4C42"/>
    <w:lvl w:ilvl="0" w:tplc="E52C44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B6727"/>
    <w:multiLevelType w:val="hybridMultilevel"/>
    <w:tmpl w:val="E2D474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9"/>
  </w:num>
  <w:num w:numId="5">
    <w:abstractNumId w:val="25"/>
  </w:num>
  <w:num w:numId="6">
    <w:abstractNumId w:val="36"/>
  </w:num>
  <w:num w:numId="7">
    <w:abstractNumId w:val="22"/>
  </w:num>
  <w:num w:numId="8">
    <w:abstractNumId w:val="3"/>
  </w:num>
  <w:num w:numId="9">
    <w:abstractNumId w:val="37"/>
  </w:num>
  <w:num w:numId="10">
    <w:abstractNumId w:val="38"/>
  </w:num>
  <w:num w:numId="11">
    <w:abstractNumId w:val="34"/>
  </w:num>
  <w:num w:numId="12">
    <w:abstractNumId w:val="12"/>
  </w:num>
  <w:num w:numId="13">
    <w:abstractNumId w:val="4"/>
  </w:num>
  <w:num w:numId="14">
    <w:abstractNumId w:val="23"/>
  </w:num>
  <w:num w:numId="15">
    <w:abstractNumId w:val="14"/>
  </w:num>
  <w:num w:numId="16">
    <w:abstractNumId w:val="7"/>
  </w:num>
  <w:num w:numId="17">
    <w:abstractNumId w:val="32"/>
  </w:num>
  <w:num w:numId="18">
    <w:abstractNumId w:val="33"/>
  </w:num>
  <w:num w:numId="19">
    <w:abstractNumId w:val="21"/>
  </w:num>
  <w:num w:numId="20">
    <w:abstractNumId w:val="24"/>
  </w:num>
  <w:num w:numId="21">
    <w:abstractNumId w:val="2"/>
  </w:num>
  <w:num w:numId="22">
    <w:abstractNumId w:val="26"/>
  </w:num>
  <w:num w:numId="23">
    <w:abstractNumId w:val="19"/>
  </w:num>
  <w:num w:numId="24">
    <w:abstractNumId w:val="16"/>
  </w:num>
  <w:num w:numId="25">
    <w:abstractNumId w:val="0"/>
  </w:num>
  <w:num w:numId="26">
    <w:abstractNumId w:val="29"/>
  </w:num>
  <w:num w:numId="27">
    <w:abstractNumId w:val="30"/>
  </w:num>
  <w:num w:numId="28">
    <w:abstractNumId w:val="1"/>
  </w:num>
  <w:num w:numId="29">
    <w:abstractNumId w:val="15"/>
  </w:num>
  <w:num w:numId="30">
    <w:abstractNumId w:val="35"/>
  </w:num>
  <w:num w:numId="31">
    <w:abstractNumId w:val="28"/>
  </w:num>
  <w:num w:numId="32">
    <w:abstractNumId w:val="13"/>
  </w:num>
  <w:num w:numId="33">
    <w:abstractNumId w:val="17"/>
  </w:num>
  <w:num w:numId="34">
    <w:abstractNumId w:val="6"/>
  </w:num>
  <w:num w:numId="35">
    <w:abstractNumId w:val="11"/>
  </w:num>
  <w:num w:numId="36">
    <w:abstractNumId w:val="8"/>
  </w:num>
  <w:num w:numId="37">
    <w:abstractNumId w:val="31"/>
  </w:num>
  <w:num w:numId="38">
    <w:abstractNumId w:val="5"/>
  </w:num>
  <w:num w:numId="39">
    <w:abstractNumId w:val="18"/>
  </w:num>
  <w:num w:numId="40">
    <w:abstractNumId w:val="2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7C"/>
    <w:rsid w:val="00002D07"/>
    <w:rsid w:val="00055E67"/>
    <w:rsid w:val="00077477"/>
    <w:rsid w:val="000871C0"/>
    <w:rsid w:val="000D68EE"/>
    <w:rsid w:val="000F05CD"/>
    <w:rsid w:val="00112DFB"/>
    <w:rsid w:val="001315C5"/>
    <w:rsid w:val="00140C2A"/>
    <w:rsid w:val="0015678A"/>
    <w:rsid w:val="00172B9C"/>
    <w:rsid w:val="00195A9C"/>
    <w:rsid w:val="001962D3"/>
    <w:rsid w:val="001B226D"/>
    <w:rsid w:val="001E0098"/>
    <w:rsid w:val="00282B3D"/>
    <w:rsid w:val="002C683F"/>
    <w:rsid w:val="002F781D"/>
    <w:rsid w:val="0030098D"/>
    <w:rsid w:val="003331D0"/>
    <w:rsid w:val="003515C1"/>
    <w:rsid w:val="00363750"/>
    <w:rsid w:val="00395653"/>
    <w:rsid w:val="003E54EF"/>
    <w:rsid w:val="0044528C"/>
    <w:rsid w:val="00460988"/>
    <w:rsid w:val="004614E9"/>
    <w:rsid w:val="00464888"/>
    <w:rsid w:val="00494AF1"/>
    <w:rsid w:val="00523742"/>
    <w:rsid w:val="00555741"/>
    <w:rsid w:val="0057112A"/>
    <w:rsid w:val="00580614"/>
    <w:rsid w:val="005A3C2D"/>
    <w:rsid w:val="00672F3D"/>
    <w:rsid w:val="006B6768"/>
    <w:rsid w:val="006E2FEB"/>
    <w:rsid w:val="006F4B8A"/>
    <w:rsid w:val="007005F3"/>
    <w:rsid w:val="00701B78"/>
    <w:rsid w:val="007045CA"/>
    <w:rsid w:val="007115DB"/>
    <w:rsid w:val="00741962"/>
    <w:rsid w:val="00767993"/>
    <w:rsid w:val="00772ACA"/>
    <w:rsid w:val="007A663A"/>
    <w:rsid w:val="007B0CC1"/>
    <w:rsid w:val="007C50CB"/>
    <w:rsid w:val="007C53C9"/>
    <w:rsid w:val="007E6484"/>
    <w:rsid w:val="007F0E6D"/>
    <w:rsid w:val="007F1AEE"/>
    <w:rsid w:val="007F64B3"/>
    <w:rsid w:val="008139A3"/>
    <w:rsid w:val="00834B43"/>
    <w:rsid w:val="00897652"/>
    <w:rsid w:val="008C4081"/>
    <w:rsid w:val="008F03DD"/>
    <w:rsid w:val="008F0EA5"/>
    <w:rsid w:val="008F46FA"/>
    <w:rsid w:val="00913EA1"/>
    <w:rsid w:val="009469E4"/>
    <w:rsid w:val="00972C5D"/>
    <w:rsid w:val="009979C1"/>
    <w:rsid w:val="009A0FC2"/>
    <w:rsid w:val="009B187A"/>
    <w:rsid w:val="00A05837"/>
    <w:rsid w:val="00A5713E"/>
    <w:rsid w:val="00A579D1"/>
    <w:rsid w:val="00A91306"/>
    <w:rsid w:val="00AE42B3"/>
    <w:rsid w:val="00B026F4"/>
    <w:rsid w:val="00B079E1"/>
    <w:rsid w:val="00B15021"/>
    <w:rsid w:val="00B40D20"/>
    <w:rsid w:val="00B55BC3"/>
    <w:rsid w:val="00B739BE"/>
    <w:rsid w:val="00B76E08"/>
    <w:rsid w:val="00B959D6"/>
    <w:rsid w:val="00BA4324"/>
    <w:rsid w:val="00BA4FAC"/>
    <w:rsid w:val="00BC379C"/>
    <w:rsid w:val="00BC79FA"/>
    <w:rsid w:val="00BF34C8"/>
    <w:rsid w:val="00C179C7"/>
    <w:rsid w:val="00C308BB"/>
    <w:rsid w:val="00C33345"/>
    <w:rsid w:val="00C62F97"/>
    <w:rsid w:val="00CA3A5C"/>
    <w:rsid w:val="00CA5E74"/>
    <w:rsid w:val="00CB5DDF"/>
    <w:rsid w:val="00CD0490"/>
    <w:rsid w:val="00D142BF"/>
    <w:rsid w:val="00D317C1"/>
    <w:rsid w:val="00D47AD4"/>
    <w:rsid w:val="00D71AFA"/>
    <w:rsid w:val="00D86356"/>
    <w:rsid w:val="00DB149E"/>
    <w:rsid w:val="00DB45C8"/>
    <w:rsid w:val="00DC520E"/>
    <w:rsid w:val="00DF54D1"/>
    <w:rsid w:val="00E06EB4"/>
    <w:rsid w:val="00E401D8"/>
    <w:rsid w:val="00E46A7C"/>
    <w:rsid w:val="00E53EFB"/>
    <w:rsid w:val="00E92EC9"/>
    <w:rsid w:val="00EF6B35"/>
    <w:rsid w:val="00F06C99"/>
    <w:rsid w:val="00F21E3F"/>
    <w:rsid w:val="00F352D1"/>
    <w:rsid w:val="00F47A50"/>
    <w:rsid w:val="00F8751D"/>
    <w:rsid w:val="00F90C3C"/>
    <w:rsid w:val="00FB4088"/>
    <w:rsid w:val="00FB5064"/>
    <w:rsid w:val="00FD1018"/>
    <w:rsid w:val="00FD42DF"/>
    <w:rsid w:val="00FD6AC4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B026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026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95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B026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026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95A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9526-F4B8-4984-890D-CF8917EA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ACEF, Saïd</dc:creator>
  <cp:lastModifiedBy>AMODEO, Matthieu</cp:lastModifiedBy>
  <cp:revision>11</cp:revision>
  <cp:lastPrinted>2020-03-13T10:54:00Z</cp:lastPrinted>
  <dcterms:created xsi:type="dcterms:W3CDTF">2020-03-19T12:38:00Z</dcterms:created>
  <dcterms:modified xsi:type="dcterms:W3CDTF">2020-03-19T17:52:00Z</dcterms:modified>
</cp:coreProperties>
</file>