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F2779" w14:textId="342BB1EB" w:rsidR="2F881595" w:rsidRDefault="56847D78" w:rsidP="773DFDB2">
      <w:pPr>
        <w:spacing w:line="276" w:lineRule="auto"/>
      </w:pPr>
      <w:r>
        <w:rPr>
          <w:noProof/>
        </w:rPr>
        <w:drawing>
          <wp:inline distT="0" distB="0" distL="0" distR="0" wp14:anchorId="3214AA54" wp14:editId="49F0A306">
            <wp:extent cx="1133475" cy="1133475"/>
            <wp:effectExtent l="0" t="0" r="0" b="0"/>
            <wp:docPr id="1107859767" name="drawing">
              <a:extLst xmlns:a="http://schemas.openxmlformats.org/drawingml/2006/main">
                <a:ext uri="{FF2B5EF4-FFF2-40B4-BE49-F238E27FC236}">
                  <a16:creationId xmlns:a16="http://schemas.microsoft.com/office/drawing/2014/main" id="{C0ED5FE8-6921-4033-810E-2B8826E5CE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9767" name="Picture 1107859767"/>
                    <pic:cNvPicPr/>
                  </pic:nvPicPr>
                  <pic:blipFill>
                    <a:blip r:embed="rId10">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inline>
        </w:drawing>
      </w:r>
      <w:r w:rsidR="005D3311">
        <w:t xml:space="preserve"> </w:t>
      </w:r>
    </w:p>
    <w:p w14:paraId="06809D0A" w14:textId="44519DE3" w:rsidR="34489A7B" w:rsidRDefault="34489A7B" w:rsidP="006349BB">
      <w:pPr>
        <w:spacing w:line="276" w:lineRule="auto"/>
        <w:jc w:val="center"/>
        <w:rPr>
          <w:rFonts w:ascii="Aptos" w:eastAsia="Aptos" w:hAnsi="Aptos" w:cs="Aptos"/>
          <w:b/>
          <w:bCs/>
          <w:color w:val="008080"/>
        </w:rPr>
      </w:pPr>
      <w:r w:rsidRPr="2F881595">
        <w:rPr>
          <w:rFonts w:ascii="Aptos" w:eastAsia="Aptos" w:hAnsi="Aptos" w:cs="Aptos"/>
          <w:b/>
          <w:bCs/>
          <w:color w:val="008080"/>
        </w:rPr>
        <w:t>Proposition d’amendement</w:t>
      </w:r>
    </w:p>
    <w:p w14:paraId="4EE58EFB" w14:textId="79A0E548" w:rsidR="34489A7B" w:rsidRDefault="644A5A94" w:rsidP="006349BB">
      <w:pPr>
        <w:spacing w:line="276" w:lineRule="auto"/>
        <w:jc w:val="center"/>
        <w:rPr>
          <w:rFonts w:ascii="Aptos" w:eastAsia="Aptos" w:hAnsi="Aptos" w:cs="Aptos"/>
          <w:b/>
          <w:bCs/>
          <w:color w:val="008080"/>
        </w:rPr>
      </w:pPr>
      <w:r w:rsidRPr="773DFDB2">
        <w:rPr>
          <w:rFonts w:ascii="Aptos" w:eastAsia="Aptos" w:hAnsi="Aptos" w:cs="Aptos"/>
          <w:b/>
          <w:bCs/>
          <w:color w:val="008080"/>
        </w:rPr>
        <w:t>Proposition de loi apportant une réponse intégrale au phénomène des violences sexuelles et sexistes contre les femmes et les enfants</w:t>
      </w:r>
      <w:r w:rsidR="5935270E" w:rsidRPr="773DFDB2">
        <w:rPr>
          <w:rFonts w:ascii="Aptos" w:eastAsia="Aptos" w:hAnsi="Aptos" w:cs="Aptos"/>
          <w:b/>
          <w:bCs/>
          <w:color w:val="008080"/>
        </w:rPr>
        <w:t xml:space="preserve"> - </w:t>
      </w:r>
      <w:r w:rsidRPr="773DFDB2">
        <w:rPr>
          <w:rFonts w:ascii="Aptos" w:eastAsia="Aptos" w:hAnsi="Aptos" w:cs="Aptos"/>
          <w:b/>
          <w:bCs/>
          <w:color w:val="008080"/>
        </w:rPr>
        <w:t>n° 3106</w:t>
      </w:r>
    </w:p>
    <w:p w14:paraId="3B4F1E2E" w14:textId="77777777" w:rsidR="006349BB" w:rsidRDefault="006349BB" w:rsidP="006349BB">
      <w:pPr>
        <w:spacing w:line="276" w:lineRule="auto"/>
        <w:jc w:val="center"/>
        <w:rPr>
          <w:rFonts w:ascii="Aptos" w:eastAsia="Aptos" w:hAnsi="Aptos" w:cs="Aptos"/>
          <w:b/>
          <w:bCs/>
          <w:color w:val="008080"/>
        </w:rPr>
      </w:pPr>
    </w:p>
    <w:p w14:paraId="0C44D7E3" w14:textId="7388F33A" w:rsidR="34489A7B" w:rsidRDefault="34489A7B" w:rsidP="2F881595">
      <w:pPr>
        <w:spacing w:line="276" w:lineRule="auto"/>
        <w:jc w:val="center"/>
        <w:rPr>
          <w:rFonts w:ascii="Aptos" w:eastAsia="Aptos" w:hAnsi="Aptos" w:cs="Aptos"/>
          <w:b/>
          <w:bCs/>
          <w:color w:val="008080"/>
        </w:rPr>
      </w:pPr>
      <w:r w:rsidRPr="2F881595">
        <w:rPr>
          <w:rFonts w:ascii="Aptos" w:eastAsia="Aptos" w:hAnsi="Aptos" w:cs="Aptos"/>
          <w:b/>
          <w:bCs/>
          <w:color w:val="008080"/>
        </w:rPr>
        <w:t>Article 2</w:t>
      </w:r>
    </w:p>
    <w:p w14:paraId="3AC9AF31" w14:textId="10E916F4" w:rsidR="34489A7B" w:rsidRDefault="34489A7B" w:rsidP="47C96873">
      <w:pPr>
        <w:spacing w:line="276" w:lineRule="auto"/>
        <w:jc w:val="center"/>
        <w:rPr>
          <w:rFonts w:ascii="Aptos" w:eastAsia="Aptos" w:hAnsi="Aptos" w:cs="Aptos"/>
          <w:b/>
          <w:bCs/>
          <w:sz w:val="22"/>
          <w:szCs w:val="22"/>
        </w:rPr>
      </w:pPr>
      <w:r w:rsidRPr="47C96873">
        <w:rPr>
          <w:rFonts w:ascii="Aptos" w:eastAsia="Aptos" w:hAnsi="Aptos" w:cs="Aptos"/>
          <w:b/>
          <w:bCs/>
          <w:sz w:val="22"/>
          <w:szCs w:val="22"/>
        </w:rPr>
        <w:t xml:space="preserve">Amendement </w:t>
      </w:r>
      <w:r w:rsidR="2B7B85EF" w:rsidRPr="47C96873">
        <w:rPr>
          <w:rFonts w:ascii="Aptos" w:eastAsia="Aptos" w:hAnsi="Aptos" w:cs="Aptos"/>
          <w:b/>
          <w:bCs/>
          <w:color w:val="000000" w:themeColor="text1"/>
          <w:sz w:val="22"/>
          <w:szCs w:val="22"/>
        </w:rPr>
        <w:t>n°</w:t>
      </w:r>
      <w:r w:rsidR="2E4B7D61" w:rsidRPr="47C96873">
        <w:rPr>
          <w:rFonts w:ascii="Aptos" w:eastAsia="Aptos" w:hAnsi="Aptos" w:cs="Aptos"/>
          <w:b/>
          <w:bCs/>
          <w:sz w:val="22"/>
          <w:szCs w:val="22"/>
        </w:rPr>
        <w:t>1</w:t>
      </w:r>
    </w:p>
    <w:p w14:paraId="79892B11" w14:textId="3ED22313" w:rsidR="34489A7B" w:rsidRDefault="34489A7B" w:rsidP="2F881595">
      <w:pPr>
        <w:spacing w:line="276" w:lineRule="auto"/>
        <w:rPr>
          <w:rFonts w:ascii="Aptos" w:eastAsia="Aptos" w:hAnsi="Aptos" w:cs="Aptos"/>
          <w:sz w:val="22"/>
          <w:szCs w:val="22"/>
        </w:rPr>
      </w:pPr>
      <w:r w:rsidRPr="2F881595">
        <w:rPr>
          <w:rFonts w:ascii="Aptos" w:eastAsia="Aptos" w:hAnsi="Aptos" w:cs="Aptos"/>
          <w:sz w:val="22"/>
          <w:szCs w:val="22"/>
        </w:rPr>
        <w:t xml:space="preserve">I- Le quatrième alinéa est ainsi remplacé :  </w:t>
      </w:r>
    </w:p>
    <w:p w14:paraId="67BF30A3" w14:textId="71509753" w:rsidR="34489A7B" w:rsidRDefault="644A5A94" w:rsidP="773DFDB2">
      <w:pPr>
        <w:spacing w:line="276" w:lineRule="auto"/>
        <w:rPr>
          <w:rFonts w:ascii="Times New Roman" w:eastAsia="Times New Roman" w:hAnsi="Times New Roman" w:cs="Times New Roman"/>
          <w:i/>
          <w:iCs/>
          <w:color w:val="000000" w:themeColor="text1"/>
          <w:sz w:val="22"/>
          <w:szCs w:val="22"/>
        </w:rPr>
      </w:pPr>
      <w:r w:rsidRPr="773DFDB2">
        <w:rPr>
          <w:rFonts w:ascii="Aptos" w:eastAsia="Aptos" w:hAnsi="Aptos" w:cs="Aptos"/>
          <w:sz w:val="22"/>
          <w:szCs w:val="22"/>
        </w:rPr>
        <w:t>«</w:t>
      </w:r>
      <w:r w:rsidRPr="773DFDB2">
        <w:rPr>
          <w:rFonts w:ascii="Aptos" w:eastAsia="Aptos" w:hAnsi="Aptos" w:cs="Aptos"/>
          <w:i/>
          <w:iCs/>
          <w:sz w:val="22"/>
          <w:szCs w:val="22"/>
        </w:rPr>
        <w:t xml:space="preserve"> </w:t>
      </w:r>
      <w:r w:rsidRPr="773DFDB2">
        <w:rPr>
          <w:rFonts w:eastAsiaTheme="minorEastAsia"/>
          <w:i/>
          <w:iCs/>
          <w:color w:val="000000" w:themeColor="text1"/>
          <w:sz w:val="22"/>
          <w:szCs w:val="22"/>
        </w:rPr>
        <w:t>Elle publie notamment chaque année une analyse et des préconisations</w:t>
      </w:r>
      <w:r w:rsidR="4163519B" w:rsidRPr="773DFDB2">
        <w:rPr>
          <w:rFonts w:eastAsiaTheme="minorEastAsia"/>
          <w:i/>
          <w:iCs/>
          <w:color w:val="000000" w:themeColor="text1"/>
          <w:sz w:val="22"/>
          <w:szCs w:val="22"/>
        </w:rPr>
        <w:t xml:space="preserve"> à la</w:t>
      </w:r>
      <w:r w:rsidRPr="773DFDB2">
        <w:rPr>
          <w:rFonts w:eastAsiaTheme="minorEastAsia"/>
          <w:i/>
          <w:iCs/>
          <w:color w:val="000000" w:themeColor="text1"/>
          <w:sz w:val="22"/>
          <w:szCs w:val="22"/>
        </w:rPr>
        <w:t xml:space="preserve"> suite </w:t>
      </w:r>
      <w:r w:rsidR="025D6BAE" w:rsidRPr="773DFDB2">
        <w:rPr>
          <w:rFonts w:eastAsiaTheme="minorEastAsia"/>
          <w:i/>
          <w:iCs/>
          <w:color w:val="000000" w:themeColor="text1"/>
          <w:sz w:val="22"/>
          <w:szCs w:val="22"/>
        </w:rPr>
        <w:t>de</w:t>
      </w:r>
      <w:r w:rsidRPr="773DFDB2">
        <w:rPr>
          <w:rFonts w:eastAsiaTheme="minorEastAsia"/>
          <w:i/>
          <w:iCs/>
          <w:color w:val="000000" w:themeColor="text1"/>
          <w:sz w:val="22"/>
          <w:szCs w:val="22"/>
        </w:rPr>
        <w:t xml:space="preserve"> la publication du rapport public présenté par le gouvernement en annexe générale au projet de loi de finances de l'année, sur la lutte contre les violences sexuelles, sexistes et intrafamiliales telles que définies à l’article 1 de la présente loi.</w:t>
      </w:r>
    </w:p>
    <w:p w14:paraId="03CD4504" w14:textId="3DB8821E" w:rsidR="34489A7B" w:rsidRDefault="644A5A94" w:rsidP="773DFDB2">
      <w:pPr>
        <w:spacing w:line="276" w:lineRule="auto"/>
        <w:rPr>
          <w:rFonts w:ascii="Times New Roman" w:eastAsia="Times New Roman" w:hAnsi="Times New Roman" w:cs="Times New Roman"/>
          <w:i/>
          <w:iCs/>
          <w:color w:val="000000" w:themeColor="text1"/>
          <w:sz w:val="22"/>
          <w:szCs w:val="22"/>
        </w:rPr>
      </w:pPr>
      <w:r w:rsidRPr="773DFDB2">
        <w:rPr>
          <w:rFonts w:ascii="Times New Roman" w:eastAsia="Times New Roman" w:hAnsi="Times New Roman" w:cs="Times New Roman"/>
          <w:i/>
          <w:iCs/>
          <w:color w:val="000000" w:themeColor="text1"/>
          <w:sz w:val="22"/>
          <w:szCs w:val="22"/>
        </w:rPr>
        <w:t>Cette annexe générale présente notamment dans le ressort de chaque cour d’appel et dans chaque collectivité régie par les articles 73 et 74 de la Constitution ainsi qu’en Nouvelle</w:t>
      </w:r>
      <w:r w:rsidR="34489A7B">
        <w:noBreakHyphen/>
      </w:r>
      <w:r w:rsidRPr="773DFDB2">
        <w:rPr>
          <w:rFonts w:ascii="Times New Roman" w:eastAsia="Times New Roman" w:hAnsi="Times New Roman" w:cs="Times New Roman"/>
          <w:i/>
          <w:iCs/>
          <w:color w:val="000000" w:themeColor="text1"/>
          <w:sz w:val="22"/>
          <w:szCs w:val="22"/>
        </w:rPr>
        <w:t xml:space="preserve">Calédonie, les délais de traitement des procédures liées aux violences sexistes, sexuelles et intrafamiliales, les taux de condamnation dans le cadre de ces procédures, ainsi que des indicateurs sur l’effectivité de l’accès des victimes de violences sexistes, sexuelles et intrafamiliales aux dispositifs de protection. </w:t>
      </w:r>
    </w:p>
    <w:p w14:paraId="194C5C0C" w14:textId="03C16EE8" w:rsidR="34489A7B" w:rsidRDefault="644A5A94" w:rsidP="773DFDB2">
      <w:pPr>
        <w:spacing w:line="276" w:lineRule="auto"/>
        <w:rPr>
          <w:rFonts w:ascii="Times New Roman" w:eastAsia="Times New Roman" w:hAnsi="Times New Roman" w:cs="Times New Roman"/>
          <w:i/>
          <w:iCs/>
          <w:color w:val="000000" w:themeColor="text1"/>
          <w:sz w:val="22"/>
          <w:szCs w:val="22"/>
        </w:rPr>
      </w:pPr>
      <w:r w:rsidRPr="773DFDB2">
        <w:rPr>
          <w:rFonts w:ascii="Times New Roman" w:eastAsia="Times New Roman" w:hAnsi="Times New Roman" w:cs="Times New Roman"/>
          <w:i/>
          <w:iCs/>
          <w:color w:val="000000" w:themeColor="text1"/>
          <w:sz w:val="22"/>
          <w:szCs w:val="22"/>
        </w:rPr>
        <w:t>Ce rapport transversal</w:t>
      </w:r>
      <w:r w:rsidR="6F5F0901" w:rsidRPr="773DFDB2">
        <w:rPr>
          <w:rFonts w:ascii="Times New Roman" w:eastAsia="Times New Roman" w:hAnsi="Times New Roman" w:cs="Times New Roman"/>
          <w:i/>
          <w:iCs/>
          <w:color w:val="000000" w:themeColor="text1"/>
          <w:sz w:val="22"/>
          <w:szCs w:val="22"/>
        </w:rPr>
        <w:t xml:space="preserve">, </w:t>
      </w:r>
    </w:p>
    <w:p w14:paraId="36D806CB" w14:textId="10E9FCC9" w:rsidR="34489A7B" w:rsidRDefault="644A5A94" w:rsidP="773DFDB2">
      <w:pPr>
        <w:spacing w:line="276" w:lineRule="auto"/>
        <w:rPr>
          <w:rFonts w:ascii="Times New Roman" w:eastAsia="Times New Roman" w:hAnsi="Times New Roman" w:cs="Times New Roman"/>
          <w:i/>
          <w:iCs/>
          <w:color w:val="000000" w:themeColor="text1"/>
          <w:sz w:val="22"/>
          <w:szCs w:val="22"/>
        </w:rPr>
      </w:pPr>
      <w:r w:rsidRPr="773DFDB2">
        <w:rPr>
          <w:rFonts w:ascii="Times New Roman" w:eastAsia="Times New Roman" w:hAnsi="Times New Roman" w:cs="Times New Roman"/>
          <w:i/>
          <w:iCs/>
          <w:color w:val="000000" w:themeColor="text1"/>
          <w:sz w:val="22"/>
          <w:szCs w:val="22"/>
        </w:rPr>
        <w:t>-Récapitule par ministère et pour le dernier exercice connu l’ensemble des crédits affectés à cette politique publique ;</w:t>
      </w:r>
      <w:r w:rsidR="34489A7B">
        <w:br/>
      </w:r>
      <w:r w:rsidRPr="773DFDB2">
        <w:rPr>
          <w:rFonts w:ascii="Times New Roman" w:eastAsia="Times New Roman" w:hAnsi="Times New Roman" w:cs="Times New Roman"/>
          <w:i/>
          <w:iCs/>
          <w:color w:val="000000" w:themeColor="text1"/>
          <w:sz w:val="22"/>
          <w:szCs w:val="22"/>
        </w:rPr>
        <w:t xml:space="preserve"> - Evalue, au regard des crédits affectés, la pertinence des dispositifs de prévention de répression de ces violences et d’accompagnement des victimes et des auteurs ;</w:t>
      </w:r>
    </w:p>
    <w:p w14:paraId="762407AE" w14:textId="73493547" w:rsidR="34489A7B" w:rsidRDefault="644A5A94" w:rsidP="773DFDB2">
      <w:pPr>
        <w:spacing w:line="276" w:lineRule="auto"/>
        <w:rPr>
          <w:rFonts w:ascii="Times New Roman" w:eastAsia="Times New Roman" w:hAnsi="Times New Roman" w:cs="Times New Roman"/>
          <w:i/>
          <w:iCs/>
          <w:color w:val="000000" w:themeColor="text1"/>
          <w:sz w:val="22"/>
          <w:szCs w:val="22"/>
        </w:rPr>
      </w:pPr>
      <w:r w:rsidRPr="773DFDB2">
        <w:rPr>
          <w:rFonts w:ascii="Times New Roman" w:eastAsia="Times New Roman" w:hAnsi="Times New Roman" w:cs="Times New Roman"/>
          <w:i/>
          <w:iCs/>
          <w:color w:val="000000" w:themeColor="text1"/>
          <w:sz w:val="22"/>
          <w:szCs w:val="22"/>
        </w:rPr>
        <w:t>- Comporte une présentation stratégique assortie d'objectifs et d'indicateurs de performance, une présentation des actions ainsi que des dépenses et des emplois, avec une justification au premier euro. Elle comporte, pour chaque objectif et indicateur, une analyse entre les résultats attendus et obtenus ainsi qu'une analyse des coûts associés ;</w:t>
      </w:r>
    </w:p>
    <w:p w14:paraId="051908A0" w14:textId="78F63709" w:rsidR="34489A7B" w:rsidRDefault="644A5A94" w:rsidP="773DFDB2">
      <w:pPr>
        <w:spacing w:line="276" w:lineRule="auto"/>
        <w:rPr>
          <w:rFonts w:ascii="Times New Roman" w:eastAsia="Times New Roman" w:hAnsi="Times New Roman" w:cs="Times New Roman"/>
          <w:i/>
          <w:iCs/>
          <w:color w:val="000000" w:themeColor="text1"/>
          <w:sz w:val="22"/>
          <w:szCs w:val="22"/>
        </w:rPr>
      </w:pPr>
      <w:r w:rsidRPr="773DFDB2">
        <w:rPr>
          <w:rFonts w:ascii="Times New Roman" w:eastAsia="Times New Roman" w:hAnsi="Times New Roman" w:cs="Times New Roman"/>
          <w:i/>
          <w:iCs/>
          <w:color w:val="000000" w:themeColor="text1"/>
          <w:sz w:val="22"/>
          <w:szCs w:val="22"/>
        </w:rPr>
        <w:t>Son contenu sera amené à évoluer sur proposition de l’autorité de lutte contre les violences sexuelles et intrafamiliales.</w:t>
      </w:r>
    </w:p>
    <w:p w14:paraId="3FFEDCEE" w14:textId="768CD6E2" w:rsidR="34489A7B" w:rsidRDefault="34489A7B" w:rsidP="2F881595">
      <w:pPr>
        <w:spacing w:line="276" w:lineRule="auto"/>
        <w:rPr>
          <w:rFonts w:ascii="Aptos" w:eastAsia="Aptos" w:hAnsi="Aptos" w:cs="Aptos"/>
          <w:color w:val="000000" w:themeColor="text1"/>
          <w:sz w:val="22"/>
          <w:szCs w:val="22"/>
        </w:rPr>
      </w:pPr>
      <w:r w:rsidRPr="2F881595">
        <w:rPr>
          <w:rFonts w:ascii="Aptos" w:eastAsia="Aptos" w:hAnsi="Aptos" w:cs="Aptos"/>
          <w:color w:val="000000" w:themeColor="text1"/>
          <w:sz w:val="22"/>
          <w:szCs w:val="22"/>
        </w:rPr>
        <w:t>II- Il est ajouté un dernier alinéa ainsi rédigé :</w:t>
      </w:r>
    </w:p>
    <w:p w14:paraId="0859EB4F" w14:textId="31836874" w:rsidR="34489A7B" w:rsidRDefault="644A5A94" w:rsidP="2F881595">
      <w:pPr>
        <w:spacing w:line="276" w:lineRule="auto"/>
      </w:pPr>
      <w:r w:rsidRPr="773DFDB2">
        <w:rPr>
          <w:rFonts w:ascii="Aptos" w:eastAsia="Aptos" w:hAnsi="Aptos" w:cs="Aptos"/>
          <w:color w:val="000000" w:themeColor="text1"/>
          <w:sz w:val="22"/>
          <w:szCs w:val="22"/>
        </w:rPr>
        <w:t>“</w:t>
      </w:r>
      <w:r w:rsidRPr="773DFDB2">
        <w:rPr>
          <w:rFonts w:ascii="Aptos" w:eastAsia="Aptos" w:hAnsi="Aptos" w:cs="Aptos"/>
          <w:i/>
          <w:iCs/>
          <w:color w:val="000000" w:themeColor="text1"/>
          <w:sz w:val="22"/>
          <w:szCs w:val="22"/>
        </w:rPr>
        <w:t>le titre IV et l’article 19 de la loi n° 2018-703 du 3 août 2018 renforçant la lutte contre les violences sexuelles et sexistes sont abrogés”.</w:t>
      </w:r>
    </w:p>
    <w:p w14:paraId="0E561CA9" w14:textId="62B03C19" w:rsidR="773DFDB2" w:rsidRDefault="773DFDB2" w:rsidP="773DFDB2">
      <w:pPr>
        <w:spacing w:line="276" w:lineRule="auto"/>
        <w:rPr>
          <w:rFonts w:ascii="Aptos" w:eastAsia="Aptos" w:hAnsi="Aptos" w:cs="Aptos"/>
          <w:i/>
          <w:iCs/>
          <w:color w:val="000000" w:themeColor="text1"/>
          <w:sz w:val="22"/>
          <w:szCs w:val="22"/>
        </w:rPr>
      </w:pPr>
    </w:p>
    <w:p w14:paraId="445D1793" w14:textId="210E8E58" w:rsidR="34489A7B" w:rsidRDefault="34489A7B" w:rsidP="2F881595">
      <w:pPr>
        <w:spacing w:line="276" w:lineRule="auto"/>
        <w:rPr>
          <w:rFonts w:ascii="Aptos" w:eastAsia="Aptos" w:hAnsi="Aptos" w:cs="Aptos"/>
          <w:color w:val="000000" w:themeColor="text1"/>
          <w:sz w:val="22"/>
          <w:szCs w:val="22"/>
        </w:rPr>
      </w:pPr>
      <w:r w:rsidRPr="2F881595">
        <w:rPr>
          <w:rFonts w:ascii="Aptos" w:eastAsia="Aptos" w:hAnsi="Aptos" w:cs="Aptos"/>
          <w:color w:val="000000" w:themeColor="text1"/>
          <w:sz w:val="22"/>
          <w:szCs w:val="22"/>
        </w:rPr>
        <w:lastRenderedPageBreak/>
        <w:t xml:space="preserve"> </w:t>
      </w:r>
    </w:p>
    <w:p w14:paraId="41CFC541" w14:textId="77777777" w:rsidR="006349BB" w:rsidRDefault="006349BB" w:rsidP="006349BB">
      <w:pPr>
        <w:spacing w:line="276" w:lineRule="auto"/>
        <w:jc w:val="center"/>
        <w:rPr>
          <w:rFonts w:ascii="Aptos" w:eastAsia="Aptos" w:hAnsi="Aptos" w:cs="Aptos"/>
          <w:color w:val="000000" w:themeColor="text1"/>
          <w:sz w:val="22"/>
          <w:szCs w:val="22"/>
        </w:rPr>
      </w:pPr>
      <w:r w:rsidRPr="47C96873">
        <w:rPr>
          <w:rFonts w:ascii="Aptos" w:eastAsia="Aptos" w:hAnsi="Aptos" w:cs="Aptos"/>
          <w:b/>
          <w:bCs/>
          <w:color w:val="000000" w:themeColor="text1"/>
          <w:sz w:val="22"/>
          <w:szCs w:val="22"/>
        </w:rPr>
        <w:t>Exposé des motifs :</w:t>
      </w:r>
    </w:p>
    <w:p w14:paraId="78DFADB5" w14:textId="4A8B7C28" w:rsidR="34489A7B" w:rsidRDefault="644A5A94" w:rsidP="2F881595">
      <w:pPr>
        <w:spacing w:line="276" w:lineRule="auto"/>
        <w:jc w:val="both"/>
        <w:rPr>
          <w:rFonts w:ascii="Aptos" w:eastAsia="Aptos" w:hAnsi="Aptos" w:cs="Aptos"/>
          <w:sz w:val="22"/>
          <w:szCs w:val="22"/>
        </w:rPr>
      </w:pPr>
      <w:r w:rsidRPr="773DFDB2">
        <w:rPr>
          <w:rFonts w:ascii="Aptos" w:eastAsia="Aptos" w:hAnsi="Aptos" w:cs="Aptos"/>
          <w:sz w:val="22"/>
          <w:szCs w:val="22"/>
        </w:rPr>
        <w:t>Cet amendement a pour objet de rendre effectif et de compléter le jaune budgétaire créé par l’article 19 de la loi n° 2018-703 du 3 août 2018 renforçant la lutte contre les violences sexuelles et sexistes. Ce jaune budgétaire bien que créé par la loi est à ce jour introuvable dans les documents budgétaires</w:t>
      </w:r>
      <w:r w:rsidR="76374140" w:rsidRPr="773DFDB2">
        <w:rPr>
          <w:rFonts w:ascii="Aptos" w:eastAsia="Aptos" w:hAnsi="Aptos" w:cs="Aptos"/>
          <w:sz w:val="22"/>
          <w:szCs w:val="22"/>
        </w:rPr>
        <w:t xml:space="preserve"> publiés par l’Etat</w:t>
      </w:r>
      <w:r w:rsidRPr="773DFDB2">
        <w:rPr>
          <w:rFonts w:ascii="Aptos" w:eastAsia="Aptos" w:hAnsi="Aptos" w:cs="Aptos"/>
          <w:sz w:val="22"/>
          <w:szCs w:val="22"/>
        </w:rPr>
        <w:t xml:space="preserve">. </w:t>
      </w:r>
    </w:p>
    <w:p w14:paraId="35CA697E" w14:textId="7EB88213" w:rsidR="34489A7B" w:rsidRDefault="0727E701" w:rsidP="773DFDB2">
      <w:pPr>
        <w:spacing w:line="276" w:lineRule="auto"/>
        <w:jc w:val="both"/>
        <w:rPr>
          <w:rFonts w:ascii="Aptos" w:eastAsia="Aptos" w:hAnsi="Aptos" w:cs="Aptos"/>
          <w:sz w:val="22"/>
          <w:szCs w:val="22"/>
        </w:rPr>
      </w:pPr>
      <w:r w:rsidRPr="773DFDB2">
        <w:rPr>
          <w:rFonts w:ascii="Aptos" w:eastAsia="Aptos" w:hAnsi="Aptos" w:cs="Aptos"/>
          <w:sz w:val="22"/>
          <w:szCs w:val="22"/>
        </w:rPr>
        <w:t>De même</w:t>
      </w:r>
      <w:r w:rsidR="644A5A94" w:rsidRPr="773DFDB2">
        <w:rPr>
          <w:rFonts w:ascii="Aptos" w:eastAsia="Aptos" w:hAnsi="Aptos" w:cs="Aptos"/>
          <w:sz w:val="22"/>
          <w:szCs w:val="22"/>
        </w:rPr>
        <w:t>, ce n’est pas à l’Autorité de lutte contre les violences sexuelles et intrafamiliales de produire le rapport interministériel mais</w:t>
      </w:r>
      <w:r w:rsidR="2C7A320C" w:rsidRPr="773DFDB2">
        <w:rPr>
          <w:rFonts w:ascii="Aptos" w:eastAsia="Aptos" w:hAnsi="Aptos" w:cs="Aptos"/>
          <w:sz w:val="22"/>
          <w:szCs w:val="22"/>
        </w:rPr>
        <w:t xml:space="preserve"> </w:t>
      </w:r>
      <w:r w:rsidR="644A5A94" w:rsidRPr="773DFDB2">
        <w:rPr>
          <w:rFonts w:ascii="Aptos" w:eastAsia="Aptos" w:hAnsi="Aptos" w:cs="Aptos"/>
          <w:sz w:val="22"/>
          <w:szCs w:val="22"/>
        </w:rPr>
        <w:t>au gouvernement de l</w:t>
      </w:r>
      <w:r w:rsidR="19007142" w:rsidRPr="773DFDB2">
        <w:rPr>
          <w:rFonts w:ascii="Aptos" w:eastAsia="Aptos" w:hAnsi="Aptos" w:cs="Aptos"/>
          <w:sz w:val="22"/>
          <w:szCs w:val="22"/>
        </w:rPr>
        <w:t>e l</w:t>
      </w:r>
      <w:r w:rsidR="644A5A94" w:rsidRPr="773DFDB2">
        <w:rPr>
          <w:rFonts w:ascii="Aptos" w:eastAsia="Aptos" w:hAnsi="Aptos" w:cs="Aptos"/>
          <w:sz w:val="22"/>
          <w:szCs w:val="22"/>
        </w:rPr>
        <w:t>ui transmettre à partir des éléments émanant de ses service</w:t>
      </w:r>
      <w:r w:rsidR="36C74722" w:rsidRPr="773DFDB2">
        <w:rPr>
          <w:rFonts w:ascii="Aptos" w:eastAsia="Aptos" w:hAnsi="Aptos" w:cs="Aptos"/>
          <w:sz w:val="22"/>
          <w:szCs w:val="22"/>
        </w:rPr>
        <w:t>s</w:t>
      </w:r>
      <w:r w:rsidR="644A5A94" w:rsidRPr="773DFDB2">
        <w:rPr>
          <w:rFonts w:ascii="Aptos" w:eastAsia="Aptos" w:hAnsi="Aptos" w:cs="Aptos"/>
          <w:sz w:val="22"/>
          <w:szCs w:val="22"/>
        </w:rPr>
        <w:t>.</w:t>
      </w:r>
    </w:p>
    <w:p w14:paraId="37B5EFAA" w14:textId="07AD6B55" w:rsidR="34489A7B" w:rsidRDefault="1BFF16DA" w:rsidP="2F881595">
      <w:pPr>
        <w:spacing w:line="276" w:lineRule="auto"/>
        <w:jc w:val="both"/>
        <w:rPr>
          <w:rFonts w:ascii="Aptos" w:eastAsia="Aptos" w:hAnsi="Aptos" w:cs="Aptos"/>
          <w:sz w:val="22"/>
          <w:szCs w:val="22"/>
        </w:rPr>
      </w:pPr>
      <w:r w:rsidRPr="773DFDB2">
        <w:rPr>
          <w:rFonts w:ascii="Aptos" w:eastAsia="Aptos" w:hAnsi="Aptos" w:cs="Aptos"/>
          <w:sz w:val="22"/>
          <w:szCs w:val="22"/>
        </w:rPr>
        <w:t>Par ailleurs, c</w:t>
      </w:r>
      <w:r w:rsidR="644A5A94" w:rsidRPr="773DFDB2">
        <w:rPr>
          <w:rFonts w:ascii="Aptos" w:eastAsia="Aptos" w:hAnsi="Aptos" w:cs="Aptos"/>
          <w:sz w:val="22"/>
          <w:szCs w:val="22"/>
        </w:rPr>
        <w:t xml:space="preserve">e rapport ne doit pas se limiter aux données des </w:t>
      </w:r>
      <w:r w:rsidR="0A7380FB" w:rsidRPr="773DFDB2">
        <w:rPr>
          <w:rFonts w:ascii="Aptos" w:eastAsia="Aptos" w:hAnsi="Aptos" w:cs="Aptos"/>
          <w:sz w:val="22"/>
          <w:szCs w:val="22"/>
        </w:rPr>
        <w:t>c</w:t>
      </w:r>
      <w:r w:rsidR="644A5A94" w:rsidRPr="773DFDB2">
        <w:rPr>
          <w:rFonts w:ascii="Aptos" w:eastAsia="Aptos" w:hAnsi="Aptos" w:cs="Aptos"/>
          <w:sz w:val="22"/>
          <w:szCs w:val="22"/>
        </w:rPr>
        <w:t>ours d’</w:t>
      </w:r>
      <w:r w:rsidR="63F8B84F" w:rsidRPr="773DFDB2">
        <w:rPr>
          <w:rFonts w:ascii="Aptos" w:eastAsia="Aptos" w:hAnsi="Aptos" w:cs="Aptos"/>
          <w:sz w:val="22"/>
          <w:szCs w:val="22"/>
        </w:rPr>
        <w:t>a</w:t>
      </w:r>
      <w:r w:rsidR="644A5A94" w:rsidRPr="773DFDB2">
        <w:rPr>
          <w:rFonts w:ascii="Aptos" w:eastAsia="Aptos" w:hAnsi="Aptos" w:cs="Aptos"/>
          <w:sz w:val="22"/>
          <w:szCs w:val="22"/>
        </w:rPr>
        <w:t>ppel mais bien contenir l’ensemble des actions interministérielles mises en œuvre pour prévenir et lutter contre les violences sexuelles, sexistes et intrafami</w:t>
      </w:r>
      <w:r w:rsidR="4CB155F5" w:rsidRPr="773DFDB2">
        <w:rPr>
          <w:rFonts w:ascii="Aptos" w:eastAsia="Aptos" w:hAnsi="Aptos" w:cs="Aptos"/>
          <w:sz w:val="22"/>
          <w:szCs w:val="22"/>
        </w:rPr>
        <w:t>li</w:t>
      </w:r>
      <w:r w:rsidR="644A5A94" w:rsidRPr="773DFDB2">
        <w:rPr>
          <w:rFonts w:ascii="Aptos" w:eastAsia="Aptos" w:hAnsi="Aptos" w:cs="Aptos"/>
          <w:sz w:val="22"/>
          <w:szCs w:val="22"/>
        </w:rPr>
        <w:t xml:space="preserve">ales et accompagner les victimes et les auteurs. </w:t>
      </w:r>
    </w:p>
    <w:p w14:paraId="47DDB302" w14:textId="09615E10" w:rsidR="34489A7B" w:rsidRDefault="644A5A94" w:rsidP="2F881595">
      <w:pPr>
        <w:spacing w:line="276" w:lineRule="auto"/>
        <w:jc w:val="both"/>
        <w:rPr>
          <w:rFonts w:ascii="Aptos" w:eastAsia="Aptos" w:hAnsi="Aptos" w:cs="Aptos"/>
          <w:sz w:val="22"/>
          <w:szCs w:val="22"/>
        </w:rPr>
      </w:pPr>
      <w:r w:rsidRPr="773DFDB2">
        <w:rPr>
          <w:rFonts w:ascii="Aptos" w:eastAsia="Aptos" w:hAnsi="Aptos" w:cs="Aptos"/>
          <w:sz w:val="22"/>
          <w:szCs w:val="22"/>
        </w:rPr>
        <w:t xml:space="preserve"> Il reviendra alors à l’autorité indépendante de l’analyser au regard de son expertise et des remontées des différents observatoires territoriaux des violences faites aux femmes    </w:t>
      </w:r>
      <w:r w:rsidR="452E0FBC" w:rsidRPr="773DFDB2">
        <w:rPr>
          <w:rFonts w:ascii="Aptos" w:eastAsia="Aptos" w:hAnsi="Aptos" w:cs="Aptos"/>
          <w:sz w:val="22"/>
          <w:szCs w:val="22"/>
        </w:rPr>
        <w:t>afin</w:t>
      </w:r>
      <w:r w:rsidRPr="773DFDB2">
        <w:rPr>
          <w:rFonts w:ascii="Aptos" w:eastAsia="Aptos" w:hAnsi="Aptos" w:cs="Aptos"/>
          <w:sz w:val="22"/>
          <w:szCs w:val="22"/>
        </w:rPr>
        <w:t xml:space="preserve"> de produire les recommandations idoines. Cette analyse rendue publique permettra chaque année de mesurer l’effectivité de la loi et de proposer des améliorations de mise en œuvre ou des modifications législatives et réglementaires permettant à l’Autorité d’assurer pleinement son rôle.</w:t>
      </w:r>
    </w:p>
    <w:p w14:paraId="63F14DDB" w14:textId="77777777" w:rsidR="006349BB" w:rsidRDefault="006349BB">
      <w:pPr>
        <w:rPr>
          <w:rFonts w:ascii="Aptos" w:eastAsia="Aptos" w:hAnsi="Aptos" w:cs="Aptos"/>
          <w:sz w:val="22"/>
          <w:szCs w:val="22"/>
        </w:rPr>
      </w:pPr>
      <w:r>
        <w:rPr>
          <w:rFonts w:ascii="Aptos" w:eastAsia="Aptos" w:hAnsi="Aptos" w:cs="Aptos"/>
          <w:sz w:val="22"/>
          <w:szCs w:val="22"/>
        </w:rPr>
        <w:br w:type="page"/>
      </w:r>
    </w:p>
    <w:p w14:paraId="7E7B105A" w14:textId="204A782E" w:rsidR="773DFDB2" w:rsidRDefault="6448745C" w:rsidP="773DFDB2">
      <w:pPr>
        <w:spacing w:line="276" w:lineRule="auto"/>
      </w:pPr>
      <w:r>
        <w:rPr>
          <w:noProof/>
        </w:rPr>
        <w:lastRenderedPageBreak/>
        <w:drawing>
          <wp:inline distT="0" distB="0" distL="0" distR="0" wp14:anchorId="10788F58" wp14:editId="1DDEB3CE">
            <wp:extent cx="1133475" cy="1133475"/>
            <wp:effectExtent l="0" t="0" r="0" b="0"/>
            <wp:docPr id="1325334506" name="drawing">
              <a:extLst xmlns:a="http://schemas.openxmlformats.org/drawingml/2006/main">
                <a:ext uri="{FF2B5EF4-FFF2-40B4-BE49-F238E27FC236}">
                  <a16:creationId xmlns:a16="http://schemas.microsoft.com/office/drawing/2014/main" id="{53E41B7D-746B-49F5-8583-D2F70EA1DE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9767" name="Picture 1107859767"/>
                    <pic:cNvPicPr/>
                  </pic:nvPicPr>
                  <pic:blipFill>
                    <a:blip r:embed="rId10">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inline>
        </w:drawing>
      </w:r>
    </w:p>
    <w:p w14:paraId="19613170" w14:textId="0584FE06" w:rsidR="773DFDB2" w:rsidRDefault="6448745C" w:rsidP="006349BB">
      <w:pPr>
        <w:spacing w:line="276" w:lineRule="auto"/>
        <w:jc w:val="center"/>
        <w:rPr>
          <w:rFonts w:ascii="Aptos" w:eastAsia="Aptos" w:hAnsi="Aptos" w:cs="Aptos"/>
          <w:b/>
          <w:bCs/>
          <w:color w:val="008080"/>
          <w:sz w:val="22"/>
          <w:szCs w:val="22"/>
        </w:rPr>
      </w:pPr>
      <w:r w:rsidRPr="47C96873">
        <w:rPr>
          <w:rFonts w:ascii="Aptos" w:eastAsia="Aptos" w:hAnsi="Aptos" w:cs="Aptos"/>
          <w:b/>
          <w:bCs/>
          <w:color w:val="008080"/>
          <w:sz w:val="22"/>
          <w:szCs w:val="22"/>
        </w:rPr>
        <w:t>Proposition d’amendement</w:t>
      </w:r>
    </w:p>
    <w:p w14:paraId="70F49BFE" w14:textId="53D1C6E2" w:rsidR="773DFDB2" w:rsidRDefault="6448745C" w:rsidP="006349BB">
      <w:pPr>
        <w:spacing w:line="276" w:lineRule="auto"/>
        <w:jc w:val="center"/>
        <w:rPr>
          <w:rFonts w:ascii="Aptos" w:eastAsia="Aptos" w:hAnsi="Aptos" w:cs="Aptos"/>
          <w:b/>
          <w:bCs/>
          <w:color w:val="008080"/>
          <w:sz w:val="22"/>
          <w:szCs w:val="22"/>
        </w:rPr>
      </w:pPr>
      <w:r w:rsidRPr="47C96873">
        <w:rPr>
          <w:rFonts w:ascii="Aptos" w:eastAsia="Aptos" w:hAnsi="Aptos" w:cs="Aptos"/>
          <w:b/>
          <w:bCs/>
          <w:color w:val="008080"/>
          <w:sz w:val="22"/>
          <w:szCs w:val="22"/>
        </w:rPr>
        <w:t>Proposition de loi apportant une réponse intégrale au phénomène des violences sexuelles et sexistes contre les femmes et les enfants</w:t>
      </w:r>
      <w:r w:rsidR="39EED5FA" w:rsidRPr="47C96873">
        <w:rPr>
          <w:rFonts w:ascii="Aptos" w:eastAsia="Aptos" w:hAnsi="Aptos" w:cs="Aptos"/>
          <w:b/>
          <w:bCs/>
          <w:color w:val="008080"/>
          <w:sz w:val="22"/>
          <w:szCs w:val="22"/>
        </w:rPr>
        <w:t xml:space="preserve"> -</w:t>
      </w:r>
      <w:r w:rsidRPr="47C96873">
        <w:rPr>
          <w:rFonts w:ascii="Aptos" w:eastAsia="Aptos" w:hAnsi="Aptos" w:cs="Aptos"/>
          <w:b/>
          <w:bCs/>
          <w:color w:val="008080"/>
          <w:sz w:val="22"/>
          <w:szCs w:val="22"/>
        </w:rPr>
        <w:t xml:space="preserve"> n° 3106</w:t>
      </w:r>
    </w:p>
    <w:p w14:paraId="5E879D28" w14:textId="77777777" w:rsidR="006349BB" w:rsidRDefault="006349BB" w:rsidP="006349BB">
      <w:pPr>
        <w:spacing w:line="276" w:lineRule="auto"/>
        <w:jc w:val="center"/>
        <w:rPr>
          <w:rFonts w:ascii="Aptos" w:eastAsia="Aptos" w:hAnsi="Aptos" w:cs="Aptos"/>
          <w:b/>
          <w:bCs/>
          <w:color w:val="008080"/>
          <w:sz w:val="22"/>
          <w:szCs w:val="22"/>
        </w:rPr>
      </w:pPr>
    </w:p>
    <w:p w14:paraId="60340AD0" w14:textId="77777777" w:rsidR="006349BB" w:rsidRDefault="006349BB" w:rsidP="006349BB">
      <w:pPr>
        <w:spacing w:line="276" w:lineRule="auto"/>
        <w:jc w:val="center"/>
      </w:pPr>
      <w:r w:rsidRPr="47C96873">
        <w:rPr>
          <w:rFonts w:ascii="Aptos" w:eastAsia="Aptos" w:hAnsi="Aptos" w:cs="Aptos"/>
          <w:b/>
          <w:bCs/>
          <w:color w:val="008080"/>
          <w:sz w:val="22"/>
          <w:szCs w:val="22"/>
        </w:rPr>
        <w:t>Article Additionnel</w:t>
      </w:r>
    </w:p>
    <w:p w14:paraId="478FBD81" w14:textId="77777777" w:rsidR="006349BB" w:rsidRDefault="006349BB" w:rsidP="006349BB">
      <w:pPr>
        <w:spacing w:line="276" w:lineRule="auto"/>
        <w:jc w:val="center"/>
      </w:pPr>
      <w:r w:rsidRPr="47C96873">
        <w:rPr>
          <w:rFonts w:ascii="Aptos" w:eastAsia="Aptos" w:hAnsi="Aptos" w:cs="Aptos"/>
          <w:b/>
          <w:bCs/>
          <w:color w:val="008080"/>
          <w:sz w:val="22"/>
          <w:szCs w:val="22"/>
        </w:rPr>
        <w:t>Après l’article 4</w:t>
      </w:r>
    </w:p>
    <w:p w14:paraId="26907133" w14:textId="2BFAF625" w:rsidR="773DFDB2" w:rsidRDefault="6448745C" w:rsidP="47C96873">
      <w:pPr>
        <w:spacing w:line="276" w:lineRule="auto"/>
        <w:jc w:val="center"/>
        <w:rPr>
          <w:rFonts w:ascii="Aptos" w:eastAsia="Aptos" w:hAnsi="Aptos" w:cs="Aptos"/>
          <w:color w:val="000000" w:themeColor="text1"/>
          <w:sz w:val="22"/>
          <w:szCs w:val="22"/>
        </w:rPr>
      </w:pPr>
      <w:r w:rsidRPr="47C96873">
        <w:rPr>
          <w:rFonts w:ascii="Aptos" w:eastAsia="Aptos" w:hAnsi="Aptos" w:cs="Aptos"/>
          <w:b/>
          <w:bCs/>
          <w:color w:val="000000" w:themeColor="text1"/>
          <w:sz w:val="22"/>
          <w:szCs w:val="22"/>
        </w:rPr>
        <w:t>Amendement n°</w:t>
      </w:r>
      <w:r w:rsidR="50BBE572" w:rsidRPr="47C96873">
        <w:rPr>
          <w:rFonts w:ascii="Aptos" w:eastAsia="Aptos" w:hAnsi="Aptos" w:cs="Aptos"/>
          <w:b/>
          <w:bCs/>
          <w:color w:val="000000" w:themeColor="text1"/>
          <w:sz w:val="22"/>
          <w:szCs w:val="22"/>
        </w:rPr>
        <w:t>2</w:t>
      </w:r>
    </w:p>
    <w:p w14:paraId="55803437" w14:textId="58A68B13"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 xml:space="preserve">Après le 7eme alinéa de l’article 81 du code de procédure pénale est inséré un nouvel alinéa ainsi rédigé : </w:t>
      </w:r>
    </w:p>
    <w:p w14:paraId="2ACA4B93" w14:textId="12F0C227"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i/>
          <w:iCs/>
          <w:color w:val="000000" w:themeColor="text1"/>
          <w:sz w:val="22"/>
          <w:szCs w:val="22"/>
        </w:rPr>
        <w:t>« Le juge d'instruction ou le juge des violences sexuelles et intrafamiliales peut, d'office, sur réquisition du parquet ou à la demande de la partie civile, procéder, par toute personne habilitée dans des conditions déterminées par décret en Conseil d'Etat, à une mesure judiciaire d’évaluation de la situation en contexte de violences intrafamiliales »</w:t>
      </w:r>
    </w:p>
    <w:p w14:paraId="5D3BC6CA" w14:textId="12D14988" w:rsidR="773DFDB2" w:rsidRDefault="773DFDB2" w:rsidP="47C96873">
      <w:pPr>
        <w:spacing w:line="276" w:lineRule="auto"/>
        <w:jc w:val="both"/>
        <w:rPr>
          <w:rFonts w:ascii="Aptos" w:eastAsia="Aptos" w:hAnsi="Aptos" w:cs="Aptos"/>
          <w:color w:val="000000" w:themeColor="text1"/>
          <w:sz w:val="22"/>
          <w:szCs w:val="22"/>
        </w:rPr>
      </w:pPr>
    </w:p>
    <w:p w14:paraId="24979827" w14:textId="23A32879" w:rsidR="773DFDB2" w:rsidRDefault="6448745C" w:rsidP="47C96873">
      <w:pPr>
        <w:spacing w:line="276" w:lineRule="auto"/>
        <w:jc w:val="center"/>
        <w:rPr>
          <w:rFonts w:ascii="Aptos" w:eastAsia="Aptos" w:hAnsi="Aptos" w:cs="Aptos"/>
          <w:color w:val="000000" w:themeColor="text1"/>
          <w:sz w:val="22"/>
          <w:szCs w:val="22"/>
        </w:rPr>
      </w:pPr>
      <w:r w:rsidRPr="47C96873">
        <w:rPr>
          <w:rFonts w:ascii="Aptos" w:eastAsia="Aptos" w:hAnsi="Aptos" w:cs="Aptos"/>
          <w:b/>
          <w:bCs/>
          <w:color w:val="000000" w:themeColor="text1"/>
          <w:sz w:val="22"/>
          <w:szCs w:val="22"/>
        </w:rPr>
        <w:t>Exposé des motifs :</w:t>
      </w:r>
    </w:p>
    <w:p w14:paraId="404034E7" w14:textId="3D9AF342"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Si depuis 2019 la France a renforcé ses dispositifs afin d’accompagner les auteurs de violences intrafamiliales, le rapport du GREVIO pointait en 2025 des limites et identifiait des enjeux</w:t>
      </w:r>
      <w:r w:rsidRPr="47C96873">
        <w:rPr>
          <w:rFonts w:ascii="Aptos" w:eastAsia="Aptos" w:hAnsi="Aptos" w:cs="Aptos"/>
          <w:color w:val="000000" w:themeColor="text1"/>
          <w:sz w:val="22"/>
          <w:szCs w:val="22"/>
          <w:u w:val="single"/>
        </w:rPr>
        <w:t xml:space="preserve"> </w:t>
      </w:r>
      <w:r w:rsidRPr="47C96873">
        <w:rPr>
          <w:rFonts w:ascii="Aptos" w:eastAsia="Aptos" w:hAnsi="Aptos" w:cs="Aptos"/>
          <w:color w:val="000000" w:themeColor="text1"/>
          <w:sz w:val="22"/>
          <w:szCs w:val="22"/>
        </w:rPr>
        <w:t xml:space="preserve">pour renforcer la protection des victimes à travers un accompagnement renforcé des auteurs.  </w:t>
      </w:r>
    </w:p>
    <w:p w14:paraId="509FEE72" w14:textId="348F9650"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 xml:space="preserve">Parmi les manques identifiés, l’absence d’instruments pour comprendre la dynamique relationnelle, évaluer la criticité des situations et coordonner les actions entre acteurs (magistrats civil/pénal, avocats, associations). </w:t>
      </w:r>
    </w:p>
    <w:p w14:paraId="586BDA97" w14:textId="1EB644EE"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 xml:space="preserve">Être en mesure d’évaluer avec précision le niveau de dangerosité d’une situation de violence conjugale est crucial dans la lutte contre les féminicides et les infanticides. Il est indispensable de proposer aux magistrats et juridictions spécialisés nouvellement créés une analyse de la situation de ces violences dans une approche contextuelle globale qui prend à la fois en compte la victime, les enfants et l’auteur. A ce jour ce type d’outil n’existe en France contrairement à certains pays qui ont déjà une solide expérience en matière d’évaluation systémique (Canada, Belgique, etc..). Nous proposons donc la création d’une nouvelle mesure judiciaire d’évaluation de la situation en contexte de violences intrafamiliales (MJVIF) qui permettra aux magistrats de disposer d’une analyse intégrant une approche systémique des violences conjugales. Cette analyse inclut des clés de compréhension de la situation : processus de domination masculine, mécanismes de contrôle coercitif, cycle de la violence, analyse genrée, etc. </w:t>
      </w:r>
    </w:p>
    <w:p w14:paraId="517B994F" w14:textId="55A54DE7"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lastRenderedPageBreak/>
        <w:t>Cette évaluation permettra de mettre en place un plan d’action tant du point de vue de la protection de la victime et des enfants que d’une intervention adaptée auprès de l’auteur.</w:t>
      </w:r>
    </w:p>
    <w:p w14:paraId="3B1264EE" w14:textId="445BBD72"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 xml:space="preserve">Cette évaluation sera mise à disposition de l’ensemble des magistrats aussi bien dans la procédure pénale que civile. </w:t>
      </w:r>
    </w:p>
    <w:p w14:paraId="6C83EDD6" w14:textId="3B44BFE6" w:rsidR="006349BB" w:rsidRDefault="006349BB">
      <w:pPr>
        <w:rPr>
          <w:rFonts w:ascii="Aptos" w:eastAsia="Aptos" w:hAnsi="Aptos" w:cs="Aptos"/>
          <w:color w:val="000000" w:themeColor="text1"/>
          <w:sz w:val="22"/>
          <w:szCs w:val="22"/>
        </w:rPr>
      </w:pPr>
      <w:r>
        <w:rPr>
          <w:rFonts w:ascii="Aptos" w:eastAsia="Aptos" w:hAnsi="Aptos" w:cs="Aptos"/>
          <w:color w:val="000000" w:themeColor="text1"/>
          <w:sz w:val="22"/>
          <w:szCs w:val="22"/>
        </w:rPr>
        <w:br w:type="page"/>
      </w:r>
    </w:p>
    <w:p w14:paraId="4F448B13" w14:textId="7F6E4C21" w:rsidR="773DFDB2" w:rsidRDefault="6448745C" w:rsidP="773DFDB2">
      <w:pPr>
        <w:spacing w:line="276" w:lineRule="auto"/>
      </w:pPr>
      <w:r w:rsidRPr="47C96873">
        <w:rPr>
          <w:rFonts w:ascii="Aptos" w:eastAsia="Aptos" w:hAnsi="Aptos" w:cs="Aptos"/>
          <w:i/>
          <w:iCs/>
          <w:sz w:val="22"/>
          <w:szCs w:val="22"/>
        </w:rPr>
        <w:lastRenderedPageBreak/>
        <w:t xml:space="preserve"> </w:t>
      </w:r>
      <w:r>
        <w:rPr>
          <w:noProof/>
        </w:rPr>
        <w:drawing>
          <wp:inline distT="0" distB="0" distL="0" distR="0" wp14:anchorId="62BDBECD" wp14:editId="77D7C498">
            <wp:extent cx="1133475" cy="1133475"/>
            <wp:effectExtent l="0" t="0" r="0" b="0"/>
            <wp:docPr id="282884096" name="drawing">
              <a:extLst xmlns:a="http://schemas.openxmlformats.org/drawingml/2006/main">
                <a:ext uri="{FF2B5EF4-FFF2-40B4-BE49-F238E27FC236}">
                  <a16:creationId xmlns:a16="http://schemas.microsoft.com/office/drawing/2014/main" id="{53E41B7D-746B-49F5-8583-D2F70EA1DE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9767" name="Picture 1107859767"/>
                    <pic:cNvPicPr/>
                  </pic:nvPicPr>
                  <pic:blipFill>
                    <a:blip r:embed="rId10">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inline>
        </w:drawing>
      </w:r>
    </w:p>
    <w:p w14:paraId="0922C8AA" w14:textId="0584FE06" w:rsidR="773DFDB2" w:rsidRDefault="6448745C" w:rsidP="006349BB">
      <w:pPr>
        <w:spacing w:line="276" w:lineRule="auto"/>
        <w:jc w:val="center"/>
        <w:rPr>
          <w:rFonts w:ascii="Aptos" w:eastAsia="Aptos" w:hAnsi="Aptos" w:cs="Aptos"/>
          <w:b/>
          <w:bCs/>
          <w:color w:val="008080"/>
          <w:sz w:val="22"/>
          <w:szCs w:val="22"/>
        </w:rPr>
      </w:pPr>
      <w:r w:rsidRPr="47C96873">
        <w:rPr>
          <w:rFonts w:ascii="Aptos" w:eastAsia="Aptos" w:hAnsi="Aptos" w:cs="Aptos"/>
          <w:b/>
          <w:bCs/>
          <w:color w:val="008080"/>
          <w:sz w:val="22"/>
          <w:szCs w:val="22"/>
        </w:rPr>
        <w:t>Proposition d’amendement</w:t>
      </w:r>
    </w:p>
    <w:p w14:paraId="1BC2CE98" w14:textId="6A4BF210" w:rsidR="773DFDB2" w:rsidRDefault="6448745C" w:rsidP="006349BB">
      <w:pPr>
        <w:spacing w:line="276" w:lineRule="auto"/>
        <w:jc w:val="center"/>
      </w:pPr>
      <w:r w:rsidRPr="47C96873">
        <w:rPr>
          <w:rFonts w:ascii="Aptos" w:eastAsia="Aptos" w:hAnsi="Aptos" w:cs="Aptos"/>
          <w:b/>
          <w:bCs/>
          <w:color w:val="008080"/>
          <w:sz w:val="22"/>
          <w:szCs w:val="22"/>
        </w:rPr>
        <w:t>Proposition de loi apportant une réponse intégrale au phénomène des violences sexuelles et sexistes contre les femmes et les enfants</w:t>
      </w:r>
      <w:r w:rsidR="216D8764" w:rsidRPr="47C96873">
        <w:rPr>
          <w:rFonts w:ascii="Aptos" w:eastAsia="Aptos" w:hAnsi="Aptos" w:cs="Aptos"/>
          <w:b/>
          <w:bCs/>
          <w:color w:val="008080"/>
          <w:sz w:val="22"/>
          <w:szCs w:val="22"/>
        </w:rPr>
        <w:t xml:space="preserve"> -</w:t>
      </w:r>
      <w:r w:rsidRPr="47C96873">
        <w:rPr>
          <w:rFonts w:ascii="Aptos" w:eastAsia="Aptos" w:hAnsi="Aptos" w:cs="Aptos"/>
          <w:b/>
          <w:bCs/>
          <w:color w:val="008080"/>
          <w:sz w:val="22"/>
          <w:szCs w:val="22"/>
        </w:rPr>
        <w:t xml:space="preserve"> n° 3106</w:t>
      </w:r>
    </w:p>
    <w:p w14:paraId="2A61F259" w14:textId="456C5B10" w:rsidR="773DFDB2" w:rsidRDefault="773DFDB2" w:rsidP="47C96873">
      <w:pPr>
        <w:spacing w:line="276" w:lineRule="auto"/>
        <w:jc w:val="right"/>
        <w:rPr>
          <w:rFonts w:ascii="Aptos" w:eastAsia="Aptos" w:hAnsi="Aptos" w:cs="Aptos"/>
          <w:b/>
          <w:bCs/>
          <w:color w:val="008080"/>
          <w:sz w:val="22"/>
          <w:szCs w:val="22"/>
        </w:rPr>
      </w:pPr>
    </w:p>
    <w:p w14:paraId="289A7047" w14:textId="77777777" w:rsidR="006349BB" w:rsidRDefault="006349BB" w:rsidP="006349BB">
      <w:pPr>
        <w:spacing w:line="276" w:lineRule="auto"/>
        <w:jc w:val="center"/>
      </w:pPr>
      <w:r w:rsidRPr="47C96873">
        <w:rPr>
          <w:rFonts w:ascii="Aptos" w:eastAsia="Aptos" w:hAnsi="Aptos" w:cs="Aptos"/>
          <w:b/>
          <w:bCs/>
          <w:color w:val="008080"/>
          <w:sz w:val="22"/>
          <w:szCs w:val="22"/>
        </w:rPr>
        <w:t>Article Additionnel</w:t>
      </w:r>
    </w:p>
    <w:p w14:paraId="47D20C70" w14:textId="77777777" w:rsidR="006349BB" w:rsidRDefault="006349BB" w:rsidP="006349BB">
      <w:pPr>
        <w:spacing w:line="276" w:lineRule="auto"/>
        <w:jc w:val="center"/>
      </w:pPr>
      <w:r w:rsidRPr="47C96873">
        <w:rPr>
          <w:rFonts w:ascii="Aptos" w:eastAsia="Aptos" w:hAnsi="Aptos" w:cs="Aptos"/>
          <w:b/>
          <w:bCs/>
          <w:color w:val="008080"/>
          <w:sz w:val="22"/>
          <w:szCs w:val="22"/>
        </w:rPr>
        <w:t>Après l’article 4</w:t>
      </w:r>
    </w:p>
    <w:p w14:paraId="22E18575" w14:textId="34152F16" w:rsidR="773DFDB2" w:rsidRDefault="4D0C517E" w:rsidP="47C96873">
      <w:pPr>
        <w:spacing w:line="276" w:lineRule="auto"/>
        <w:jc w:val="center"/>
        <w:rPr>
          <w:rFonts w:ascii="Aptos" w:eastAsia="Aptos" w:hAnsi="Aptos" w:cs="Aptos"/>
          <w:b/>
          <w:bCs/>
          <w:sz w:val="22"/>
          <w:szCs w:val="22"/>
        </w:rPr>
      </w:pPr>
      <w:r w:rsidRPr="47C96873">
        <w:rPr>
          <w:rFonts w:ascii="Aptos" w:eastAsia="Aptos" w:hAnsi="Aptos" w:cs="Aptos"/>
          <w:b/>
          <w:bCs/>
          <w:sz w:val="22"/>
          <w:szCs w:val="22"/>
        </w:rPr>
        <w:t xml:space="preserve">Amendement </w:t>
      </w:r>
      <w:r w:rsidRPr="47C96873">
        <w:rPr>
          <w:rFonts w:ascii="Aptos" w:eastAsia="Aptos" w:hAnsi="Aptos" w:cs="Aptos"/>
          <w:b/>
          <w:bCs/>
          <w:color w:val="000000" w:themeColor="text1"/>
          <w:sz w:val="22"/>
          <w:szCs w:val="22"/>
        </w:rPr>
        <w:t>n°3</w:t>
      </w:r>
    </w:p>
    <w:p w14:paraId="1E65BCC0" w14:textId="65B41B6F"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 xml:space="preserve">A l’article 138 du code de procédure pénale est inséré après le 17 bis un 17°ter ainsi rédigé : </w:t>
      </w:r>
    </w:p>
    <w:p w14:paraId="2732FF8C" w14:textId="4E1E2A48"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i/>
          <w:iCs/>
          <w:color w:val="000000" w:themeColor="text1"/>
          <w:sz w:val="22"/>
          <w:szCs w:val="22"/>
        </w:rPr>
        <w:t>« En cas d'infraction commise soit contre son conjoint, son concubin ou son partenaire lié par un pacte civil de solidarité, soit contre ses enfants ou ceux de son conjoint, concubin ou partenaire, répondre aux convocations de toute autorité, de toute association ou de toute personne qualifiée désignée par le juge d'instruction ou le juge des violences sexuelles et intrafamiliales ou le juge des libertés et de la détention et se soumettre, à un programme socio-éducatif de lutte contre les violences intrafamiliales »</w:t>
      </w:r>
    </w:p>
    <w:p w14:paraId="4EAF5253" w14:textId="03306531" w:rsidR="773DFDB2" w:rsidRDefault="773DFDB2" w:rsidP="47C96873">
      <w:pPr>
        <w:spacing w:line="276" w:lineRule="auto"/>
        <w:jc w:val="both"/>
        <w:rPr>
          <w:rFonts w:ascii="Aptos" w:eastAsia="Aptos" w:hAnsi="Aptos" w:cs="Aptos"/>
          <w:color w:val="000000" w:themeColor="text1"/>
          <w:sz w:val="22"/>
          <w:szCs w:val="22"/>
        </w:rPr>
      </w:pPr>
    </w:p>
    <w:p w14:paraId="12767F93" w14:textId="0B16FBB9" w:rsidR="773DFDB2" w:rsidRDefault="6448745C" w:rsidP="47C96873">
      <w:pPr>
        <w:spacing w:line="276" w:lineRule="auto"/>
        <w:jc w:val="center"/>
        <w:rPr>
          <w:rFonts w:ascii="Aptos" w:eastAsia="Aptos" w:hAnsi="Aptos" w:cs="Aptos"/>
          <w:color w:val="000000" w:themeColor="text1"/>
          <w:sz w:val="22"/>
          <w:szCs w:val="22"/>
        </w:rPr>
      </w:pPr>
      <w:r w:rsidRPr="47C96873">
        <w:rPr>
          <w:rFonts w:ascii="Aptos" w:eastAsia="Aptos" w:hAnsi="Aptos" w:cs="Aptos"/>
          <w:b/>
          <w:bCs/>
          <w:color w:val="000000" w:themeColor="text1"/>
          <w:sz w:val="22"/>
          <w:szCs w:val="22"/>
        </w:rPr>
        <w:t>Exposé des motifs :</w:t>
      </w:r>
    </w:p>
    <w:p w14:paraId="4D0C32F3" w14:textId="00CB7A0E"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Si depuis 2019 la France a renforcé ses dispositifs afin d’accompagner les auteurs de violences intrafamiliales, le rapport du GREVIO pointait en 2025 des limites et identifiait des enjeux</w:t>
      </w:r>
      <w:r w:rsidRPr="47C96873">
        <w:rPr>
          <w:rFonts w:ascii="Aptos" w:eastAsia="Aptos" w:hAnsi="Aptos" w:cs="Aptos"/>
          <w:color w:val="000000" w:themeColor="text1"/>
          <w:sz w:val="22"/>
          <w:szCs w:val="22"/>
          <w:u w:val="single"/>
        </w:rPr>
        <w:t xml:space="preserve"> </w:t>
      </w:r>
      <w:r w:rsidRPr="47C96873">
        <w:rPr>
          <w:rFonts w:ascii="Aptos" w:eastAsia="Aptos" w:hAnsi="Aptos" w:cs="Aptos"/>
          <w:color w:val="000000" w:themeColor="text1"/>
          <w:sz w:val="22"/>
          <w:szCs w:val="22"/>
        </w:rPr>
        <w:t>pour renforcer la protection des victimes à travers un accompagnement renforcé des auteurs.</w:t>
      </w:r>
    </w:p>
    <w:p w14:paraId="11BFBB90" w14:textId="40C66DD1"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 xml:space="preserve">Parmi les manques identifiés, l’absence de programme structuré et contraignant à destination des auteurs placés sous-main de justice. Le temps pré </w:t>
      </w:r>
      <w:proofErr w:type="spellStart"/>
      <w:r w:rsidRPr="47C96873">
        <w:rPr>
          <w:rFonts w:ascii="Aptos" w:eastAsia="Aptos" w:hAnsi="Aptos" w:cs="Aptos"/>
          <w:color w:val="000000" w:themeColor="text1"/>
          <w:sz w:val="22"/>
          <w:szCs w:val="22"/>
        </w:rPr>
        <w:t>sententiel</w:t>
      </w:r>
      <w:proofErr w:type="spellEnd"/>
      <w:r w:rsidRPr="47C96873">
        <w:rPr>
          <w:rFonts w:ascii="Aptos" w:eastAsia="Aptos" w:hAnsi="Aptos" w:cs="Aptos"/>
          <w:color w:val="000000" w:themeColor="text1"/>
          <w:sz w:val="22"/>
          <w:szCs w:val="22"/>
        </w:rPr>
        <w:t xml:space="preserve"> de placement sous contrôle judiciaire apparait comme particulièrement opportun pour mettre en place un tel programme. A ce jour le contentieux de violences intrafamiliales constitue plus de la moitié des contrôles judiciaires confiés au secteur associatif habilité, d’où l’intérêt de mettre à profit ce temps spécifique pour engager une véritable action de responsabilisation de l’auteur. </w:t>
      </w:r>
    </w:p>
    <w:p w14:paraId="77A8BD5D" w14:textId="1F7ED1E7"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L’objectif de cette proposition est de créer un programme qui s’inspire des résultats de recherches universitaires françaises et internationales qui s’appuient sur la contrainte judiciaire, pour créer une méthodologie favorisant le processus de responsabilisation et d’accompagnement au changement. Cette méthodologie s’inscrit dans le champ socio-éducatif en impulsant chez les auteurs une reconnaissance de la violence comme un choix et en développant des nouvelles aptitudes relationnelles et comportementales intégrant la dimension d’égalité.</w:t>
      </w:r>
    </w:p>
    <w:p w14:paraId="2078E731" w14:textId="2FF581D3"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lastRenderedPageBreak/>
        <w:t xml:space="preserve">En s’inscrivant sur un temps long d’a minima 6 mois et dans le cadre de la mesure contraignante de contrôle judiciaire, ce programme permet à la fois à la Justice de vérifier le suivi de l’obligation de se soumettre à ce programme (et de révoquer le contrôle judiciaire en cas de non-respect de cette obligation) et, à terme, de prononcer une sanction pénale au regard de l’adhésion de la personne au programme. Dans le cadre de ce programme, la victime est informée et sa parole est entendue par le service en charge du contrôle judiciaire afin de croiser les informations concernant la situation. Cela permet d’apporter aux magistrats les informations nécessaires à la prise de mesures adaptées tant pour protéger la victime que pour adapter la sanction de l’auteur. </w:t>
      </w:r>
    </w:p>
    <w:p w14:paraId="2CC1583A" w14:textId="77153A4D" w:rsidR="773DFDB2" w:rsidRDefault="6448745C" w:rsidP="47C96873">
      <w:pPr>
        <w:spacing w:line="276" w:lineRule="auto"/>
        <w:jc w:val="both"/>
        <w:rPr>
          <w:rFonts w:ascii="Aptos" w:eastAsia="Aptos" w:hAnsi="Aptos" w:cs="Aptos"/>
          <w:color w:val="000000" w:themeColor="text1"/>
          <w:sz w:val="22"/>
          <w:szCs w:val="22"/>
        </w:rPr>
      </w:pPr>
      <w:r w:rsidRPr="47C96873">
        <w:rPr>
          <w:rFonts w:ascii="Aptos" w:eastAsia="Aptos" w:hAnsi="Aptos" w:cs="Aptos"/>
          <w:color w:val="000000" w:themeColor="text1"/>
          <w:sz w:val="22"/>
          <w:szCs w:val="22"/>
        </w:rPr>
        <w:t>Ce programme s’inscrit dans les recommandations du GREVIO qui souligne l’importance que la France adopte des normes nationales pour les programmes d’auteurs.</w:t>
      </w:r>
    </w:p>
    <w:p w14:paraId="27000B99" w14:textId="4924BCD5" w:rsidR="006349BB" w:rsidRDefault="006349BB">
      <w:pPr>
        <w:rPr>
          <w:rFonts w:ascii="Aptos" w:eastAsia="Aptos" w:hAnsi="Aptos" w:cs="Aptos"/>
          <w:color w:val="000000" w:themeColor="text1"/>
          <w:sz w:val="22"/>
          <w:szCs w:val="22"/>
        </w:rPr>
      </w:pPr>
      <w:r>
        <w:rPr>
          <w:rFonts w:ascii="Aptos" w:eastAsia="Aptos" w:hAnsi="Aptos" w:cs="Aptos"/>
          <w:color w:val="000000" w:themeColor="text1"/>
          <w:sz w:val="22"/>
          <w:szCs w:val="22"/>
        </w:rPr>
        <w:br w:type="page"/>
      </w:r>
    </w:p>
    <w:p w14:paraId="72B78857" w14:textId="0F2F460F" w:rsidR="009F252C" w:rsidRPr="009F252C" w:rsidRDefault="6448745C" w:rsidP="009F252C">
      <w:pPr>
        <w:spacing w:line="276" w:lineRule="auto"/>
      </w:pPr>
      <w:r>
        <w:rPr>
          <w:noProof/>
        </w:rPr>
        <w:lastRenderedPageBreak/>
        <w:drawing>
          <wp:inline distT="0" distB="0" distL="0" distR="0" wp14:anchorId="2006BD57" wp14:editId="1D943E27">
            <wp:extent cx="1133475" cy="1133475"/>
            <wp:effectExtent l="0" t="0" r="0" b="0"/>
            <wp:docPr id="1043354509" name="drawing">
              <a:extLst xmlns:a="http://schemas.openxmlformats.org/drawingml/2006/main">
                <a:ext uri="{FF2B5EF4-FFF2-40B4-BE49-F238E27FC236}">
                  <a16:creationId xmlns:a16="http://schemas.microsoft.com/office/drawing/2014/main" id="{53E41B7D-746B-49F5-8583-D2F70EA1DE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9767" name="Picture 1107859767"/>
                    <pic:cNvPicPr/>
                  </pic:nvPicPr>
                  <pic:blipFill>
                    <a:blip r:embed="rId10">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inline>
        </w:drawing>
      </w:r>
      <w:r w:rsidR="009F252C">
        <w:tab/>
      </w:r>
      <w:r w:rsidR="009F252C" w:rsidRPr="009F252C">
        <w:drawing>
          <wp:inline distT="0" distB="0" distL="0" distR="0" wp14:anchorId="0DAAF64C" wp14:editId="4C12FAE0">
            <wp:extent cx="790575" cy="990600"/>
            <wp:effectExtent l="0" t="0" r="9525" b="0"/>
            <wp:docPr id="136665939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a:ln>
                      <a:noFill/>
                    </a:ln>
                  </pic:spPr>
                </pic:pic>
              </a:graphicData>
            </a:graphic>
          </wp:inline>
        </w:drawing>
      </w:r>
    </w:p>
    <w:p w14:paraId="6BAB65AF" w14:textId="05F65D6E" w:rsidR="773DFDB2" w:rsidRDefault="773DFDB2" w:rsidP="773DFDB2">
      <w:pPr>
        <w:spacing w:line="276" w:lineRule="auto"/>
      </w:pPr>
    </w:p>
    <w:p w14:paraId="3F0603E4" w14:textId="0584FE06" w:rsidR="773DFDB2" w:rsidRDefault="6448745C" w:rsidP="006349BB">
      <w:pPr>
        <w:spacing w:line="276" w:lineRule="auto"/>
        <w:jc w:val="center"/>
        <w:rPr>
          <w:rFonts w:ascii="Aptos" w:eastAsia="Aptos" w:hAnsi="Aptos" w:cs="Aptos"/>
          <w:b/>
          <w:bCs/>
          <w:color w:val="008080"/>
          <w:sz w:val="22"/>
          <w:szCs w:val="22"/>
        </w:rPr>
      </w:pPr>
      <w:r w:rsidRPr="47C96873">
        <w:rPr>
          <w:rFonts w:ascii="Aptos" w:eastAsia="Aptos" w:hAnsi="Aptos" w:cs="Aptos"/>
          <w:b/>
          <w:bCs/>
          <w:color w:val="008080"/>
          <w:sz w:val="22"/>
          <w:szCs w:val="22"/>
        </w:rPr>
        <w:t>Proposition d’amendement</w:t>
      </w:r>
    </w:p>
    <w:p w14:paraId="5065BB56" w14:textId="6C4A3B35" w:rsidR="773DFDB2" w:rsidRDefault="6448745C" w:rsidP="006349BB">
      <w:pPr>
        <w:spacing w:line="276" w:lineRule="auto"/>
        <w:jc w:val="center"/>
        <w:rPr>
          <w:rFonts w:ascii="Aptos" w:eastAsia="Aptos" w:hAnsi="Aptos" w:cs="Aptos"/>
          <w:b/>
          <w:bCs/>
          <w:color w:val="008080"/>
          <w:sz w:val="22"/>
          <w:szCs w:val="22"/>
        </w:rPr>
      </w:pPr>
      <w:r w:rsidRPr="47C96873">
        <w:rPr>
          <w:rFonts w:ascii="Aptos" w:eastAsia="Aptos" w:hAnsi="Aptos" w:cs="Aptos"/>
          <w:b/>
          <w:bCs/>
          <w:color w:val="008080"/>
          <w:sz w:val="22"/>
          <w:szCs w:val="22"/>
        </w:rPr>
        <w:t>Proposition de loi apportant une réponse intégrale au phénomène des violences sexuelles et sexistes contre les femmes et les enfants</w:t>
      </w:r>
      <w:r w:rsidR="67F5679E" w:rsidRPr="47C96873">
        <w:rPr>
          <w:rFonts w:ascii="Aptos" w:eastAsia="Aptos" w:hAnsi="Aptos" w:cs="Aptos"/>
          <w:b/>
          <w:bCs/>
          <w:color w:val="008080"/>
          <w:sz w:val="22"/>
          <w:szCs w:val="22"/>
        </w:rPr>
        <w:t xml:space="preserve"> - </w:t>
      </w:r>
      <w:r w:rsidRPr="47C96873">
        <w:rPr>
          <w:rFonts w:ascii="Aptos" w:eastAsia="Aptos" w:hAnsi="Aptos" w:cs="Aptos"/>
          <w:b/>
          <w:bCs/>
          <w:color w:val="008080"/>
          <w:sz w:val="22"/>
          <w:szCs w:val="22"/>
        </w:rPr>
        <w:t>n° 3106</w:t>
      </w:r>
    </w:p>
    <w:p w14:paraId="09C8EA6D" w14:textId="77777777" w:rsidR="006349BB" w:rsidRDefault="006349BB" w:rsidP="47C96873">
      <w:pPr>
        <w:spacing w:line="276" w:lineRule="auto"/>
        <w:jc w:val="center"/>
        <w:rPr>
          <w:rFonts w:ascii="Aptos" w:eastAsia="Aptos" w:hAnsi="Aptos" w:cs="Aptos"/>
          <w:b/>
          <w:bCs/>
          <w:color w:val="008080"/>
          <w:sz w:val="22"/>
          <w:szCs w:val="22"/>
        </w:rPr>
      </w:pPr>
    </w:p>
    <w:p w14:paraId="7D1967A9" w14:textId="5ED76EF7" w:rsidR="773DFDB2" w:rsidRDefault="6448745C" w:rsidP="47C96873">
      <w:pPr>
        <w:spacing w:line="276" w:lineRule="auto"/>
        <w:jc w:val="center"/>
      </w:pPr>
      <w:r w:rsidRPr="47C96873">
        <w:rPr>
          <w:rFonts w:ascii="Aptos" w:eastAsia="Aptos" w:hAnsi="Aptos" w:cs="Aptos"/>
          <w:b/>
          <w:bCs/>
          <w:color w:val="008080"/>
          <w:sz w:val="22"/>
          <w:szCs w:val="22"/>
        </w:rPr>
        <w:t>Article Additionnel</w:t>
      </w:r>
    </w:p>
    <w:p w14:paraId="5AE82444" w14:textId="037DDAE4" w:rsidR="773DFDB2" w:rsidRDefault="6448745C" w:rsidP="47C96873">
      <w:pPr>
        <w:spacing w:line="276" w:lineRule="auto"/>
        <w:jc w:val="center"/>
      </w:pPr>
      <w:r w:rsidRPr="47C96873">
        <w:rPr>
          <w:rFonts w:ascii="Aptos" w:eastAsia="Aptos" w:hAnsi="Aptos" w:cs="Aptos"/>
          <w:b/>
          <w:bCs/>
          <w:color w:val="008080"/>
          <w:sz w:val="22"/>
          <w:szCs w:val="22"/>
        </w:rPr>
        <w:t>Après l’article 4</w:t>
      </w:r>
    </w:p>
    <w:p w14:paraId="4A36DCB8" w14:textId="19926D67" w:rsidR="773DFDB2" w:rsidRDefault="7303E7E8" w:rsidP="47C96873">
      <w:pPr>
        <w:spacing w:line="276" w:lineRule="auto"/>
        <w:jc w:val="center"/>
        <w:rPr>
          <w:rFonts w:ascii="Aptos" w:eastAsia="Aptos" w:hAnsi="Aptos" w:cs="Aptos"/>
          <w:b/>
          <w:bCs/>
          <w:sz w:val="22"/>
          <w:szCs w:val="22"/>
        </w:rPr>
      </w:pPr>
      <w:r w:rsidRPr="47C96873">
        <w:rPr>
          <w:rFonts w:ascii="Aptos" w:eastAsia="Aptos" w:hAnsi="Aptos" w:cs="Aptos"/>
          <w:b/>
          <w:bCs/>
          <w:sz w:val="22"/>
          <w:szCs w:val="22"/>
        </w:rPr>
        <w:t xml:space="preserve">Amendement </w:t>
      </w:r>
      <w:r w:rsidRPr="47C96873">
        <w:rPr>
          <w:rFonts w:ascii="Aptos" w:eastAsia="Aptos" w:hAnsi="Aptos" w:cs="Aptos"/>
          <w:b/>
          <w:bCs/>
          <w:color w:val="000000" w:themeColor="text1"/>
          <w:sz w:val="22"/>
          <w:szCs w:val="22"/>
        </w:rPr>
        <w:t>n°4</w:t>
      </w:r>
    </w:p>
    <w:p w14:paraId="3287EFE6" w14:textId="76780B73" w:rsidR="773DFDB2" w:rsidRDefault="6448745C" w:rsidP="47C96873">
      <w:pPr>
        <w:spacing w:line="276" w:lineRule="auto"/>
        <w:rPr>
          <w:rFonts w:ascii="Aptos" w:eastAsia="Aptos" w:hAnsi="Aptos" w:cs="Aptos"/>
          <w:sz w:val="22"/>
          <w:szCs w:val="22"/>
        </w:rPr>
      </w:pPr>
      <w:r w:rsidRPr="47C96873">
        <w:rPr>
          <w:rFonts w:ascii="Aptos" w:eastAsia="Aptos" w:hAnsi="Aptos" w:cs="Aptos"/>
          <w:sz w:val="22"/>
          <w:szCs w:val="22"/>
        </w:rPr>
        <w:t>Il est ajouté un article ainsi rédigé :</w:t>
      </w:r>
    </w:p>
    <w:p w14:paraId="670DA4D6" w14:textId="13B4BD99" w:rsidR="773DFDB2" w:rsidRDefault="6448745C" w:rsidP="47C96873">
      <w:pPr>
        <w:spacing w:line="276" w:lineRule="auto"/>
        <w:rPr>
          <w:rFonts w:ascii="Aptos" w:eastAsia="Aptos" w:hAnsi="Aptos" w:cs="Aptos"/>
          <w:i/>
          <w:iCs/>
          <w:sz w:val="22"/>
          <w:szCs w:val="22"/>
        </w:rPr>
      </w:pPr>
      <w:r w:rsidRPr="47C96873">
        <w:rPr>
          <w:rFonts w:ascii="Aptos" w:eastAsia="Aptos" w:hAnsi="Aptos" w:cs="Aptos"/>
          <w:i/>
          <w:iCs/>
          <w:sz w:val="22"/>
          <w:szCs w:val="22"/>
        </w:rPr>
        <w:t xml:space="preserve">« I Le code de la justice pénale des mineurs est ainsi modifié : </w:t>
      </w:r>
    </w:p>
    <w:p w14:paraId="6AA315F9" w14:textId="603107EB" w:rsidR="773DFDB2" w:rsidRDefault="6448745C" w:rsidP="47C96873">
      <w:pPr>
        <w:spacing w:line="276" w:lineRule="auto"/>
        <w:rPr>
          <w:rFonts w:ascii="Aptos" w:eastAsia="Aptos" w:hAnsi="Aptos" w:cs="Aptos"/>
          <w:i/>
          <w:iCs/>
          <w:sz w:val="22"/>
          <w:szCs w:val="22"/>
        </w:rPr>
      </w:pPr>
      <w:r w:rsidRPr="47C96873">
        <w:rPr>
          <w:rFonts w:ascii="Aptos" w:eastAsia="Aptos" w:hAnsi="Aptos" w:cs="Aptos"/>
          <w:i/>
          <w:iCs/>
          <w:sz w:val="22"/>
          <w:szCs w:val="22"/>
        </w:rPr>
        <w:t xml:space="preserve">a) Il est ajouté un 3° à l’article L 112-8 ainsi rédigé : </w:t>
      </w:r>
    </w:p>
    <w:p w14:paraId="087D961B" w14:textId="23BBB529" w:rsidR="773DFDB2" w:rsidRDefault="6448745C" w:rsidP="47C96873">
      <w:pPr>
        <w:spacing w:line="276" w:lineRule="auto"/>
        <w:rPr>
          <w:rFonts w:ascii="Aptos" w:eastAsia="Aptos" w:hAnsi="Aptos" w:cs="Aptos"/>
          <w:i/>
          <w:iCs/>
          <w:sz w:val="22"/>
          <w:szCs w:val="22"/>
        </w:rPr>
      </w:pPr>
      <w:r w:rsidRPr="47C96873">
        <w:rPr>
          <w:rFonts w:ascii="Aptos" w:eastAsia="Aptos" w:hAnsi="Aptos" w:cs="Aptos"/>
          <w:i/>
          <w:iCs/>
          <w:sz w:val="22"/>
          <w:szCs w:val="22"/>
        </w:rPr>
        <w:t>« une mesure de réparation pénale éducative, rétributive et restaurative renforcée à destination des mineurs ayant déjà été condamnés ou ayant commis des actes de violence ».</w:t>
      </w:r>
    </w:p>
    <w:p w14:paraId="0ACE42DD" w14:textId="01F85150" w:rsidR="773DFDB2" w:rsidRDefault="6448745C" w:rsidP="47C96873">
      <w:pPr>
        <w:spacing w:line="276" w:lineRule="auto"/>
        <w:rPr>
          <w:rFonts w:ascii="Aptos" w:eastAsia="Aptos" w:hAnsi="Aptos" w:cs="Aptos"/>
          <w:i/>
          <w:iCs/>
          <w:sz w:val="22"/>
          <w:szCs w:val="22"/>
        </w:rPr>
      </w:pPr>
      <w:r w:rsidRPr="47C96873">
        <w:rPr>
          <w:rFonts w:ascii="Aptos" w:eastAsia="Aptos" w:hAnsi="Aptos" w:cs="Aptos"/>
          <w:i/>
          <w:iCs/>
          <w:sz w:val="22"/>
          <w:szCs w:val="22"/>
        </w:rPr>
        <w:t xml:space="preserve">b) il est ajouté après le troisième alinéa de l’article L 112-10, l’alinéa suivant : </w:t>
      </w:r>
    </w:p>
    <w:p w14:paraId="4EC7FE94" w14:textId="32543185" w:rsidR="773DFDB2" w:rsidRDefault="6448745C" w:rsidP="47C96873">
      <w:pPr>
        <w:spacing w:line="276" w:lineRule="auto"/>
        <w:rPr>
          <w:rFonts w:ascii="Aptos" w:eastAsia="Aptos" w:hAnsi="Aptos" w:cs="Aptos"/>
          <w:i/>
          <w:iCs/>
          <w:sz w:val="22"/>
          <w:szCs w:val="22"/>
        </w:rPr>
      </w:pPr>
      <w:r w:rsidRPr="47C96873">
        <w:rPr>
          <w:rFonts w:ascii="Aptos" w:eastAsia="Aptos" w:hAnsi="Aptos" w:cs="Aptos"/>
          <w:i/>
          <w:iCs/>
          <w:sz w:val="22"/>
          <w:szCs w:val="22"/>
        </w:rPr>
        <w:t>« La mesure de réparation pénale éducative rétributive et restaurative renforcée est mise en œuvre à l’égard de la victime directe ou indirecte à la demande ou avec l’accord de la victime ».</w:t>
      </w:r>
    </w:p>
    <w:p w14:paraId="110A4E42" w14:textId="1CCACECF" w:rsidR="773DFDB2" w:rsidRDefault="6448745C" w:rsidP="47C96873">
      <w:pPr>
        <w:spacing w:line="276" w:lineRule="auto"/>
        <w:rPr>
          <w:rFonts w:ascii="Aptos" w:eastAsia="Aptos" w:hAnsi="Aptos" w:cs="Aptos"/>
          <w:i/>
          <w:iCs/>
          <w:sz w:val="22"/>
          <w:szCs w:val="22"/>
        </w:rPr>
      </w:pPr>
      <w:r w:rsidRPr="47C96873">
        <w:rPr>
          <w:rFonts w:ascii="Aptos" w:eastAsia="Aptos" w:hAnsi="Aptos" w:cs="Aptos"/>
          <w:i/>
          <w:iCs/>
          <w:sz w:val="22"/>
          <w:szCs w:val="22"/>
        </w:rPr>
        <w:t>II - un décret viendra préciser les modalités d’organisation de la mesure de réparation pénale éducative, rétributive et restaurative renforcée qui peut être confiée à la protection judiciaire de la jeunesse ou à un service ou une personne habilitée dans des conditions fixées par décret en conseil d’Etat ».</w:t>
      </w:r>
    </w:p>
    <w:p w14:paraId="554494AE" w14:textId="5ACF36C3" w:rsidR="773DFDB2" w:rsidRDefault="773DFDB2" w:rsidP="47C96873">
      <w:pPr>
        <w:spacing w:line="276" w:lineRule="auto"/>
        <w:rPr>
          <w:rFonts w:ascii="Aptos" w:eastAsia="Aptos" w:hAnsi="Aptos" w:cs="Aptos"/>
          <w:i/>
          <w:iCs/>
          <w:sz w:val="22"/>
          <w:szCs w:val="22"/>
        </w:rPr>
      </w:pPr>
    </w:p>
    <w:p w14:paraId="5A74C31C" w14:textId="77777777" w:rsidR="006349BB" w:rsidRDefault="006349BB" w:rsidP="006349BB">
      <w:pPr>
        <w:spacing w:line="276" w:lineRule="auto"/>
        <w:jc w:val="center"/>
        <w:rPr>
          <w:rFonts w:ascii="Aptos" w:eastAsia="Aptos" w:hAnsi="Aptos" w:cs="Aptos"/>
          <w:color w:val="000000" w:themeColor="text1"/>
          <w:sz w:val="22"/>
          <w:szCs w:val="22"/>
        </w:rPr>
      </w:pPr>
      <w:r w:rsidRPr="47C96873">
        <w:rPr>
          <w:rFonts w:ascii="Aptos" w:eastAsia="Aptos" w:hAnsi="Aptos" w:cs="Aptos"/>
          <w:b/>
          <w:bCs/>
          <w:color w:val="000000" w:themeColor="text1"/>
          <w:sz w:val="22"/>
          <w:szCs w:val="22"/>
        </w:rPr>
        <w:t>Exposé des motifs :</w:t>
      </w:r>
    </w:p>
    <w:p w14:paraId="2619DBD5" w14:textId="0DC45E10" w:rsidR="773DFDB2" w:rsidRDefault="6448745C" w:rsidP="47C96873">
      <w:pPr>
        <w:spacing w:after="360" w:line="276" w:lineRule="auto"/>
        <w:rPr>
          <w:rFonts w:ascii="Aptos" w:eastAsia="Aptos" w:hAnsi="Aptos" w:cs="Aptos"/>
          <w:sz w:val="22"/>
          <w:szCs w:val="22"/>
        </w:rPr>
      </w:pPr>
      <w:r w:rsidRPr="47C96873">
        <w:rPr>
          <w:rFonts w:ascii="Aptos" w:eastAsia="Aptos" w:hAnsi="Aptos" w:cs="Aptos"/>
          <w:sz w:val="22"/>
          <w:szCs w:val="22"/>
        </w:rPr>
        <w:t>Cet amendement vise à créer un accompagnement éducatif et restauratif renforcé et non stigmatisant des enfants auteurs de violences notamment sexuelles et intrafamiliales tout au long de la procédure pénale.</w:t>
      </w:r>
    </w:p>
    <w:p w14:paraId="2D4D4441" w14:textId="65B87733" w:rsidR="773DFDB2" w:rsidRDefault="6448745C" w:rsidP="47C96873">
      <w:pPr>
        <w:spacing w:after="360" w:line="276" w:lineRule="auto"/>
        <w:rPr>
          <w:rFonts w:ascii="Aptos" w:eastAsia="Aptos" w:hAnsi="Aptos" w:cs="Aptos"/>
          <w:sz w:val="22"/>
          <w:szCs w:val="22"/>
        </w:rPr>
      </w:pPr>
      <w:r w:rsidRPr="47C96873">
        <w:rPr>
          <w:rFonts w:ascii="Aptos" w:eastAsia="Aptos" w:hAnsi="Aptos" w:cs="Aptos"/>
          <w:sz w:val="22"/>
          <w:szCs w:val="22"/>
        </w:rPr>
        <w:t xml:space="preserve">Les chiffres clés émanant du ministère de la justice s’agissant des enfants auteurs d’infraction à caractère sexuel sont particulièrement inquiétants puisque la part des agressions sexuelles et des viols est passée de 4,7 % à 8,6 % s’agissant des infractions commises par les mineurs entre 2020 et 2024 (contre 2,3 % et 2,5 % pour les majeurs sur la même période). </w:t>
      </w:r>
    </w:p>
    <w:p w14:paraId="71BFA925" w14:textId="2FE6BB4E" w:rsidR="773DFDB2" w:rsidRDefault="6448745C" w:rsidP="47C96873">
      <w:pPr>
        <w:spacing w:after="360" w:line="276" w:lineRule="auto"/>
        <w:rPr>
          <w:rFonts w:ascii="Aptos" w:eastAsia="Aptos" w:hAnsi="Aptos" w:cs="Aptos"/>
          <w:sz w:val="22"/>
          <w:szCs w:val="22"/>
        </w:rPr>
      </w:pPr>
      <w:r w:rsidRPr="47C96873">
        <w:rPr>
          <w:rFonts w:ascii="Aptos" w:eastAsia="Aptos" w:hAnsi="Aptos" w:cs="Aptos"/>
          <w:sz w:val="22"/>
          <w:szCs w:val="22"/>
        </w:rPr>
        <w:lastRenderedPageBreak/>
        <w:t xml:space="preserve">Ces enfants, souvent à la fois victimes et auteurs, doivent être accompagnés de manière renforcée dans la durée. S’ils doivent pouvoir comprendre et appréhender leur passé de victime — passé que la justice doit également leur reconnaître —, ils doivent aussi être mis face à leur responsabilité d'auteur ayant causé un préjudice grave à une victime. Cette victime doit être prise en considération de manière effective que ce soit par le jeune, par l’éducateur et par la justice. Ses attentes et ses besoins doivent être entendus. C’est l’esprit même du code de justice pénale des mineurs dont le quatrième objectif est la prise en considération de la victime. La mesure de réparation pénale éducative, rétributive et restaurative renforcée répond à ce double objectif de favoriser la </w:t>
      </w:r>
      <w:proofErr w:type="spellStart"/>
      <w:r w:rsidRPr="47C96873">
        <w:rPr>
          <w:rFonts w:ascii="Aptos" w:eastAsia="Aptos" w:hAnsi="Aptos" w:cs="Aptos"/>
          <w:sz w:val="22"/>
          <w:szCs w:val="22"/>
        </w:rPr>
        <w:t>désistance</w:t>
      </w:r>
      <w:proofErr w:type="spellEnd"/>
      <w:r w:rsidRPr="47C96873">
        <w:rPr>
          <w:rFonts w:ascii="Aptos" w:eastAsia="Aptos" w:hAnsi="Aptos" w:cs="Aptos"/>
          <w:sz w:val="22"/>
          <w:szCs w:val="22"/>
        </w:rPr>
        <w:t xml:space="preserve"> de l’auteur et la résilience de la victime directe ou indirecte, mais aussi de favoriser la résilience du versant victime de l’auteur.</w:t>
      </w:r>
    </w:p>
    <w:p w14:paraId="210791A2" w14:textId="7065E5F0" w:rsidR="006349BB" w:rsidRDefault="006349BB">
      <w:pPr>
        <w:rPr>
          <w:rFonts w:ascii="Aptos" w:eastAsia="Aptos" w:hAnsi="Aptos" w:cs="Aptos"/>
          <w:sz w:val="22"/>
          <w:szCs w:val="22"/>
        </w:rPr>
      </w:pPr>
      <w:r>
        <w:rPr>
          <w:rFonts w:ascii="Aptos" w:eastAsia="Aptos" w:hAnsi="Aptos" w:cs="Aptos"/>
          <w:sz w:val="22"/>
          <w:szCs w:val="22"/>
        </w:rPr>
        <w:br w:type="page"/>
      </w:r>
    </w:p>
    <w:p w14:paraId="23E0D87C" w14:textId="6DE594A7" w:rsidR="009F252C" w:rsidRPr="009F252C" w:rsidRDefault="77CA0874" w:rsidP="009F252C">
      <w:pPr>
        <w:spacing w:line="276" w:lineRule="auto"/>
      </w:pPr>
      <w:r>
        <w:rPr>
          <w:noProof/>
        </w:rPr>
        <w:lastRenderedPageBreak/>
        <w:drawing>
          <wp:inline distT="0" distB="0" distL="0" distR="0" wp14:anchorId="7DC3F935" wp14:editId="50966742">
            <wp:extent cx="1133475" cy="1133475"/>
            <wp:effectExtent l="0" t="0" r="0" b="0"/>
            <wp:docPr id="1677545565" name="drawing">
              <a:extLst xmlns:a="http://schemas.openxmlformats.org/drawingml/2006/main">
                <a:ext uri="{FF2B5EF4-FFF2-40B4-BE49-F238E27FC236}">
                  <a16:creationId xmlns:a16="http://schemas.microsoft.com/office/drawing/2014/main" id="{CFBCE407-B3E7-4D5D-B53A-08E96B023E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9767" name="Picture 1107859767"/>
                    <pic:cNvPicPr/>
                  </pic:nvPicPr>
                  <pic:blipFill>
                    <a:blip r:embed="rId10">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inline>
        </w:drawing>
      </w:r>
      <w:r w:rsidR="009F252C">
        <w:tab/>
      </w:r>
      <w:r w:rsidR="009F252C" w:rsidRPr="009F252C">
        <w:drawing>
          <wp:inline distT="0" distB="0" distL="0" distR="0" wp14:anchorId="0EAD27E9" wp14:editId="7C15DDA9">
            <wp:extent cx="790575" cy="990600"/>
            <wp:effectExtent l="0" t="0" r="9525" b="0"/>
            <wp:docPr id="14904025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a:ln>
                      <a:noFill/>
                    </a:ln>
                  </pic:spPr>
                </pic:pic>
              </a:graphicData>
            </a:graphic>
          </wp:inline>
        </w:drawing>
      </w:r>
    </w:p>
    <w:p w14:paraId="10CD4F5B" w14:textId="03DDC16D" w:rsidR="34489A7B" w:rsidRDefault="34489A7B" w:rsidP="773DFDB2">
      <w:pPr>
        <w:spacing w:line="276" w:lineRule="auto"/>
      </w:pPr>
    </w:p>
    <w:p w14:paraId="66453488" w14:textId="511562C2" w:rsidR="34489A7B" w:rsidRDefault="34489A7B" w:rsidP="2F881595">
      <w:pPr>
        <w:spacing w:line="276" w:lineRule="auto"/>
      </w:pPr>
    </w:p>
    <w:p w14:paraId="4703D765" w14:textId="6B54E4B9" w:rsidR="34489A7B" w:rsidRDefault="34489A7B" w:rsidP="006349BB">
      <w:pPr>
        <w:spacing w:line="276" w:lineRule="auto"/>
        <w:jc w:val="center"/>
        <w:rPr>
          <w:rFonts w:ascii="Aptos" w:eastAsia="Aptos" w:hAnsi="Aptos" w:cs="Aptos"/>
          <w:b/>
          <w:bCs/>
          <w:color w:val="008080"/>
          <w:sz w:val="22"/>
          <w:szCs w:val="22"/>
        </w:rPr>
      </w:pPr>
      <w:r w:rsidRPr="2F881595">
        <w:rPr>
          <w:rFonts w:ascii="Aptos" w:eastAsia="Aptos" w:hAnsi="Aptos" w:cs="Aptos"/>
          <w:b/>
          <w:bCs/>
          <w:color w:val="008080"/>
          <w:sz w:val="22"/>
          <w:szCs w:val="22"/>
        </w:rPr>
        <w:t>Proposition d’amendement</w:t>
      </w:r>
    </w:p>
    <w:p w14:paraId="4E1CC9C0" w14:textId="7FDCAE2E" w:rsidR="34489A7B" w:rsidRDefault="34489A7B" w:rsidP="006349BB">
      <w:pPr>
        <w:spacing w:line="276" w:lineRule="auto"/>
        <w:jc w:val="center"/>
        <w:rPr>
          <w:rFonts w:ascii="Aptos" w:eastAsia="Aptos" w:hAnsi="Aptos" w:cs="Aptos"/>
          <w:b/>
          <w:bCs/>
          <w:color w:val="008080"/>
          <w:sz w:val="22"/>
          <w:szCs w:val="22"/>
        </w:rPr>
      </w:pPr>
      <w:r w:rsidRPr="47C96873">
        <w:rPr>
          <w:rFonts w:ascii="Aptos" w:eastAsia="Aptos" w:hAnsi="Aptos" w:cs="Aptos"/>
          <w:b/>
          <w:bCs/>
          <w:color w:val="008080"/>
          <w:sz w:val="22"/>
          <w:szCs w:val="22"/>
        </w:rPr>
        <w:t>Proposition de loi apportant une réponse intégrale au phénomène des violences sexuelles et sexistes contre les femmes et les enfants</w:t>
      </w:r>
      <w:r w:rsidR="6AD83229" w:rsidRPr="47C96873">
        <w:rPr>
          <w:rFonts w:ascii="Aptos" w:eastAsia="Aptos" w:hAnsi="Aptos" w:cs="Aptos"/>
          <w:b/>
          <w:bCs/>
          <w:color w:val="008080"/>
          <w:sz w:val="22"/>
          <w:szCs w:val="22"/>
        </w:rPr>
        <w:t>-</w:t>
      </w:r>
      <w:r w:rsidRPr="47C96873">
        <w:rPr>
          <w:rFonts w:ascii="Aptos" w:eastAsia="Aptos" w:hAnsi="Aptos" w:cs="Aptos"/>
          <w:b/>
          <w:bCs/>
          <w:color w:val="008080"/>
          <w:sz w:val="22"/>
          <w:szCs w:val="22"/>
        </w:rPr>
        <w:t xml:space="preserve"> n° 3106</w:t>
      </w:r>
    </w:p>
    <w:p w14:paraId="562C9C93" w14:textId="3A4CEC7A" w:rsidR="34489A7B" w:rsidRDefault="34489A7B" w:rsidP="2F881595">
      <w:pPr>
        <w:spacing w:line="276" w:lineRule="auto"/>
        <w:jc w:val="center"/>
        <w:rPr>
          <w:rFonts w:ascii="Aptos" w:eastAsia="Aptos" w:hAnsi="Aptos" w:cs="Aptos"/>
          <w:b/>
          <w:bCs/>
          <w:color w:val="008080"/>
          <w:sz w:val="22"/>
          <w:szCs w:val="22"/>
        </w:rPr>
      </w:pPr>
      <w:r w:rsidRPr="2F881595">
        <w:rPr>
          <w:rFonts w:ascii="Aptos" w:eastAsia="Aptos" w:hAnsi="Aptos" w:cs="Aptos"/>
          <w:b/>
          <w:bCs/>
          <w:color w:val="008080"/>
          <w:sz w:val="22"/>
          <w:szCs w:val="22"/>
        </w:rPr>
        <w:t>Article 5</w:t>
      </w:r>
    </w:p>
    <w:p w14:paraId="54B1CB6D" w14:textId="5001CFB0" w:rsidR="34489A7B" w:rsidRDefault="34489A7B" w:rsidP="2F881595">
      <w:pPr>
        <w:spacing w:line="276" w:lineRule="auto"/>
        <w:jc w:val="center"/>
        <w:rPr>
          <w:rFonts w:ascii="Aptos" w:eastAsia="Aptos" w:hAnsi="Aptos" w:cs="Aptos"/>
          <w:b/>
          <w:bCs/>
          <w:sz w:val="22"/>
          <w:szCs w:val="22"/>
        </w:rPr>
      </w:pPr>
      <w:r w:rsidRPr="47C96873">
        <w:rPr>
          <w:rFonts w:ascii="Aptos" w:eastAsia="Aptos" w:hAnsi="Aptos" w:cs="Aptos"/>
          <w:b/>
          <w:bCs/>
          <w:sz w:val="22"/>
          <w:szCs w:val="22"/>
        </w:rPr>
        <w:t xml:space="preserve">Amendement </w:t>
      </w:r>
      <w:r w:rsidR="33733237" w:rsidRPr="47C96873">
        <w:rPr>
          <w:rFonts w:ascii="Aptos" w:eastAsia="Aptos" w:hAnsi="Aptos" w:cs="Aptos"/>
          <w:b/>
          <w:bCs/>
          <w:sz w:val="22"/>
          <w:szCs w:val="22"/>
        </w:rPr>
        <w:t>n°</w:t>
      </w:r>
      <w:r w:rsidR="4DD40AB0" w:rsidRPr="47C96873">
        <w:rPr>
          <w:rFonts w:ascii="Aptos" w:eastAsia="Aptos" w:hAnsi="Aptos" w:cs="Aptos"/>
          <w:b/>
          <w:bCs/>
          <w:sz w:val="22"/>
          <w:szCs w:val="22"/>
        </w:rPr>
        <w:t>5</w:t>
      </w:r>
    </w:p>
    <w:p w14:paraId="1CCB4628" w14:textId="69FAA113" w:rsidR="34489A7B" w:rsidRDefault="644A5A94" w:rsidP="773DFDB2">
      <w:pPr>
        <w:pStyle w:val="Paragraphedeliste"/>
        <w:numPr>
          <w:ilvl w:val="0"/>
          <w:numId w:val="2"/>
        </w:numPr>
        <w:spacing w:after="0" w:line="276" w:lineRule="auto"/>
        <w:rPr>
          <w:rFonts w:ascii="Aptos" w:eastAsia="Aptos" w:hAnsi="Aptos" w:cs="Aptos"/>
          <w:sz w:val="22"/>
          <w:szCs w:val="22"/>
        </w:rPr>
      </w:pPr>
      <w:r w:rsidRPr="773DFDB2">
        <w:rPr>
          <w:rFonts w:ascii="Aptos" w:eastAsia="Aptos" w:hAnsi="Aptos" w:cs="Aptos"/>
          <w:sz w:val="22"/>
          <w:szCs w:val="22"/>
        </w:rPr>
        <w:t xml:space="preserve">Il est ajouté à la fin du 7e alinéa les mots </w:t>
      </w:r>
      <w:r w:rsidR="3647129C" w:rsidRPr="773DFDB2">
        <w:rPr>
          <w:rFonts w:ascii="Aptos" w:eastAsia="Aptos" w:hAnsi="Aptos" w:cs="Aptos"/>
          <w:sz w:val="22"/>
          <w:szCs w:val="22"/>
        </w:rPr>
        <w:t xml:space="preserve">: </w:t>
      </w:r>
      <w:r w:rsidRPr="773DFDB2">
        <w:rPr>
          <w:rFonts w:ascii="Aptos" w:eastAsia="Aptos" w:hAnsi="Aptos" w:cs="Aptos"/>
          <w:i/>
          <w:iCs/>
          <w:sz w:val="22"/>
          <w:szCs w:val="22"/>
        </w:rPr>
        <w:t>“hors délits commis par des mineurs qui restent régis par les articles L251-1 à L254-1 du Titre V du présent code”</w:t>
      </w:r>
      <w:r w:rsidRPr="773DFDB2">
        <w:rPr>
          <w:rFonts w:ascii="Aptos" w:eastAsia="Aptos" w:hAnsi="Aptos" w:cs="Aptos"/>
          <w:sz w:val="22"/>
          <w:szCs w:val="22"/>
        </w:rPr>
        <w:t>.</w:t>
      </w:r>
    </w:p>
    <w:p w14:paraId="6854F514" w14:textId="77777777" w:rsidR="00942A24" w:rsidRDefault="00942A24" w:rsidP="00942A24">
      <w:pPr>
        <w:pStyle w:val="Paragraphedeliste"/>
        <w:spacing w:after="0" w:line="276" w:lineRule="auto"/>
        <w:rPr>
          <w:rFonts w:ascii="Aptos" w:eastAsia="Aptos" w:hAnsi="Aptos" w:cs="Aptos"/>
          <w:sz w:val="22"/>
          <w:szCs w:val="22"/>
        </w:rPr>
      </w:pPr>
    </w:p>
    <w:p w14:paraId="5A8753E9" w14:textId="01060EC4" w:rsidR="34489A7B" w:rsidRPr="00942A24" w:rsidRDefault="644A5A94" w:rsidP="00942A24">
      <w:pPr>
        <w:pStyle w:val="Paragraphedeliste"/>
        <w:numPr>
          <w:ilvl w:val="0"/>
          <w:numId w:val="2"/>
        </w:numPr>
        <w:spacing w:after="0" w:line="276" w:lineRule="auto"/>
        <w:rPr>
          <w:rFonts w:ascii="Aptos" w:eastAsia="Aptos" w:hAnsi="Aptos" w:cs="Aptos"/>
          <w:sz w:val="22"/>
          <w:szCs w:val="22"/>
        </w:rPr>
      </w:pPr>
      <w:r w:rsidRPr="00942A24">
        <w:rPr>
          <w:rFonts w:ascii="Aptos" w:eastAsia="Aptos" w:hAnsi="Aptos" w:cs="Aptos"/>
          <w:sz w:val="22"/>
          <w:szCs w:val="22"/>
        </w:rPr>
        <w:t xml:space="preserve">Il est ajouté à la fin du 21e alinéa les mots </w:t>
      </w:r>
      <w:r w:rsidR="4F0CD85A" w:rsidRPr="00942A24">
        <w:rPr>
          <w:rFonts w:ascii="Aptos" w:eastAsia="Aptos" w:hAnsi="Aptos" w:cs="Aptos"/>
          <w:sz w:val="22"/>
          <w:szCs w:val="22"/>
        </w:rPr>
        <w:t xml:space="preserve">: </w:t>
      </w:r>
      <w:r w:rsidRPr="00942A24">
        <w:rPr>
          <w:rFonts w:ascii="Aptos" w:eastAsia="Aptos" w:hAnsi="Aptos" w:cs="Aptos"/>
          <w:sz w:val="22"/>
          <w:szCs w:val="22"/>
        </w:rPr>
        <w:t>“hors crimes commis par des mineurs qui</w:t>
      </w:r>
      <w:r w:rsidRPr="00942A24">
        <w:rPr>
          <w:rFonts w:ascii="Aptos" w:eastAsia="Aptos" w:hAnsi="Aptos" w:cs="Aptos"/>
          <w:i/>
          <w:iCs/>
          <w:sz w:val="22"/>
          <w:szCs w:val="22"/>
        </w:rPr>
        <w:t xml:space="preserve"> restent régis par les articles L251-1 à L254-1 du Titre V du présent cod</w:t>
      </w:r>
      <w:r w:rsidRPr="00942A24">
        <w:rPr>
          <w:rFonts w:ascii="Times New Roman" w:eastAsia="Times New Roman" w:hAnsi="Times New Roman" w:cs="Times New Roman"/>
          <w:i/>
          <w:iCs/>
          <w:color w:val="000000" w:themeColor="text1"/>
          <w:sz w:val="22"/>
          <w:szCs w:val="22"/>
        </w:rPr>
        <w:t>e”.</w:t>
      </w:r>
    </w:p>
    <w:p w14:paraId="5DAF4F3A" w14:textId="424A7EDF" w:rsidR="34489A7B" w:rsidRDefault="34489A7B" w:rsidP="2F881595">
      <w:pPr>
        <w:spacing w:line="276" w:lineRule="auto"/>
        <w:rPr>
          <w:rFonts w:ascii="Aptos" w:eastAsia="Aptos" w:hAnsi="Aptos" w:cs="Aptos"/>
          <w:color w:val="000000" w:themeColor="text1"/>
          <w:sz w:val="22"/>
          <w:szCs w:val="22"/>
        </w:rPr>
      </w:pPr>
    </w:p>
    <w:p w14:paraId="4C6DF511" w14:textId="77777777" w:rsidR="006349BB" w:rsidRDefault="006349BB" w:rsidP="006349BB">
      <w:pPr>
        <w:spacing w:line="276" w:lineRule="auto"/>
        <w:jc w:val="center"/>
        <w:rPr>
          <w:rFonts w:ascii="Aptos" w:eastAsia="Aptos" w:hAnsi="Aptos" w:cs="Aptos"/>
          <w:color w:val="000000" w:themeColor="text1"/>
          <w:sz w:val="22"/>
          <w:szCs w:val="22"/>
        </w:rPr>
      </w:pPr>
      <w:r w:rsidRPr="47C96873">
        <w:rPr>
          <w:rFonts w:ascii="Aptos" w:eastAsia="Aptos" w:hAnsi="Aptos" w:cs="Aptos"/>
          <w:b/>
          <w:bCs/>
          <w:color w:val="000000" w:themeColor="text1"/>
          <w:sz w:val="22"/>
          <w:szCs w:val="22"/>
        </w:rPr>
        <w:t>Exposé des motifs :</w:t>
      </w:r>
    </w:p>
    <w:p w14:paraId="22FCBEA3" w14:textId="2E3BD7A4" w:rsidR="34489A7B" w:rsidRDefault="624B35F7" w:rsidP="773DFDB2">
      <w:pPr>
        <w:spacing w:line="276" w:lineRule="auto"/>
        <w:jc w:val="both"/>
        <w:rPr>
          <w:rFonts w:ascii="Aptos" w:eastAsia="Aptos" w:hAnsi="Aptos" w:cs="Aptos"/>
          <w:sz w:val="22"/>
          <w:szCs w:val="22"/>
        </w:rPr>
      </w:pPr>
      <w:r w:rsidRPr="47C96873">
        <w:rPr>
          <w:rFonts w:ascii="Aptos" w:eastAsia="Aptos" w:hAnsi="Aptos" w:cs="Aptos"/>
          <w:sz w:val="22"/>
          <w:szCs w:val="22"/>
        </w:rPr>
        <w:t>Les mineurs, quels que soient les délits et crimes commis, doivent être jugés par les seules juridictions de mineurs dans le respect de la constitution et de la convention internationale des droits de l‘enfant.</w:t>
      </w:r>
      <w:r w:rsidR="0DE45266" w:rsidRPr="47C96873">
        <w:rPr>
          <w:rFonts w:ascii="Aptos" w:eastAsia="Aptos" w:hAnsi="Aptos" w:cs="Aptos"/>
          <w:sz w:val="22"/>
          <w:szCs w:val="22"/>
        </w:rPr>
        <w:t xml:space="preserve"> </w:t>
      </w:r>
      <w:r w:rsidR="644A5A94" w:rsidRPr="47C96873">
        <w:rPr>
          <w:rFonts w:ascii="Aptos" w:eastAsia="Aptos" w:hAnsi="Aptos" w:cs="Aptos"/>
          <w:sz w:val="22"/>
          <w:szCs w:val="22"/>
        </w:rPr>
        <w:t xml:space="preserve">Cet amendement a </w:t>
      </w:r>
      <w:r w:rsidR="0DE45266" w:rsidRPr="47C96873">
        <w:rPr>
          <w:rFonts w:ascii="Aptos" w:eastAsia="Aptos" w:hAnsi="Aptos" w:cs="Aptos"/>
          <w:sz w:val="22"/>
          <w:szCs w:val="22"/>
        </w:rPr>
        <w:t xml:space="preserve">donc </w:t>
      </w:r>
      <w:r w:rsidR="644A5A94" w:rsidRPr="47C96873">
        <w:rPr>
          <w:rFonts w:ascii="Aptos" w:eastAsia="Aptos" w:hAnsi="Aptos" w:cs="Aptos"/>
          <w:sz w:val="22"/>
          <w:szCs w:val="22"/>
        </w:rPr>
        <w:t>pour objet de garantir que l</w:t>
      </w:r>
      <w:r w:rsidR="74D3F640" w:rsidRPr="47C96873">
        <w:rPr>
          <w:rFonts w:ascii="Aptos" w:eastAsia="Aptos" w:hAnsi="Aptos" w:cs="Aptos"/>
          <w:sz w:val="22"/>
          <w:szCs w:val="22"/>
        </w:rPr>
        <w:t>es juridictions d</w:t>
      </w:r>
      <w:r w:rsidR="644A5A94" w:rsidRPr="47C96873">
        <w:rPr>
          <w:rFonts w:ascii="Aptos" w:eastAsia="Aptos" w:hAnsi="Aptos" w:cs="Aptos"/>
          <w:sz w:val="22"/>
          <w:szCs w:val="22"/>
        </w:rPr>
        <w:t>es violences sexuelles</w:t>
      </w:r>
      <w:r w:rsidR="170A0570" w:rsidRPr="47C96873">
        <w:rPr>
          <w:rFonts w:ascii="Aptos" w:eastAsia="Aptos" w:hAnsi="Aptos" w:cs="Aptos"/>
          <w:sz w:val="22"/>
          <w:szCs w:val="22"/>
        </w:rPr>
        <w:t xml:space="preserve"> et </w:t>
      </w:r>
      <w:r w:rsidR="644A5A94" w:rsidRPr="47C96873">
        <w:rPr>
          <w:rFonts w:ascii="Aptos" w:eastAsia="Aptos" w:hAnsi="Aptos" w:cs="Aptos"/>
          <w:sz w:val="22"/>
          <w:szCs w:val="22"/>
        </w:rPr>
        <w:t>intrafamiliales ne puisse</w:t>
      </w:r>
      <w:r w:rsidR="214E7A48" w:rsidRPr="47C96873">
        <w:rPr>
          <w:rFonts w:ascii="Aptos" w:eastAsia="Aptos" w:hAnsi="Aptos" w:cs="Aptos"/>
          <w:sz w:val="22"/>
          <w:szCs w:val="22"/>
        </w:rPr>
        <w:t>nt pas</w:t>
      </w:r>
      <w:r w:rsidR="644A5A94" w:rsidRPr="47C96873">
        <w:rPr>
          <w:rFonts w:ascii="Aptos" w:eastAsia="Aptos" w:hAnsi="Aptos" w:cs="Aptos"/>
          <w:sz w:val="22"/>
          <w:szCs w:val="22"/>
        </w:rPr>
        <w:t xml:space="preserve"> connaitre les délits et crimes </w:t>
      </w:r>
      <w:r w:rsidR="7ED93B99" w:rsidRPr="47C96873">
        <w:rPr>
          <w:rFonts w:ascii="Aptos" w:eastAsia="Aptos" w:hAnsi="Aptos" w:cs="Aptos"/>
          <w:sz w:val="22"/>
          <w:szCs w:val="22"/>
        </w:rPr>
        <w:t>commis par les mineurs s’agissant des</w:t>
      </w:r>
      <w:r w:rsidR="644A5A94" w:rsidRPr="47C96873">
        <w:rPr>
          <w:rFonts w:ascii="Aptos" w:eastAsia="Aptos" w:hAnsi="Aptos" w:cs="Aptos"/>
          <w:sz w:val="22"/>
          <w:szCs w:val="22"/>
        </w:rPr>
        <w:t xml:space="preserve"> violences intrafamiliales et de violences sexistes et sexuelles visées aux articles 222</w:t>
      </w:r>
      <w:r w:rsidR="003E4980">
        <w:noBreakHyphen/>
      </w:r>
      <w:r w:rsidR="644A5A94" w:rsidRPr="47C96873">
        <w:rPr>
          <w:rFonts w:ascii="Aptos" w:eastAsia="Aptos" w:hAnsi="Aptos" w:cs="Aptos"/>
          <w:sz w:val="22"/>
          <w:szCs w:val="22"/>
        </w:rPr>
        <w:t>1 A et 222</w:t>
      </w:r>
      <w:r w:rsidR="003E4980">
        <w:noBreakHyphen/>
      </w:r>
      <w:r w:rsidR="644A5A94" w:rsidRPr="47C96873">
        <w:rPr>
          <w:rFonts w:ascii="Aptos" w:eastAsia="Aptos" w:hAnsi="Aptos" w:cs="Aptos"/>
          <w:sz w:val="22"/>
          <w:szCs w:val="22"/>
        </w:rPr>
        <w:t xml:space="preserve">22 A du code pénal. </w:t>
      </w:r>
    </w:p>
    <w:p w14:paraId="2472C4B2" w14:textId="62001115" w:rsidR="34489A7B" w:rsidRDefault="0DE45266" w:rsidP="2F881595">
      <w:pPr>
        <w:spacing w:line="276" w:lineRule="auto"/>
        <w:jc w:val="both"/>
        <w:rPr>
          <w:rFonts w:ascii="Aptos" w:eastAsia="Aptos" w:hAnsi="Aptos" w:cs="Aptos"/>
          <w:sz w:val="22"/>
          <w:szCs w:val="22"/>
        </w:rPr>
      </w:pPr>
      <w:r w:rsidRPr="47C96873">
        <w:rPr>
          <w:rFonts w:ascii="Aptos" w:eastAsia="Aptos" w:hAnsi="Aptos" w:cs="Aptos"/>
          <w:sz w:val="22"/>
          <w:szCs w:val="22"/>
        </w:rPr>
        <w:t>S</w:t>
      </w:r>
      <w:r w:rsidR="34489A7B" w:rsidRPr="47C96873">
        <w:rPr>
          <w:rFonts w:ascii="Aptos" w:eastAsia="Aptos" w:hAnsi="Aptos" w:cs="Aptos"/>
          <w:sz w:val="22"/>
          <w:szCs w:val="22"/>
        </w:rPr>
        <w:t>elon le code de justice pénale des mineurs, les dispositions législatives et réglementaires en matière de droit pénal et de procédure pénale, notamment celles du code pénal et du code de procédure pénale, sont applicables aux mineurs, sauf lorsqu'il en est disposé autrement dans le code. Il convient donc de sécuriser l’organisation de la justice pénale des mineurs.</w:t>
      </w:r>
    </w:p>
    <w:p w14:paraId="637DC28F" w14:textId="77777777" w:rsidR="006349BB" w:rsidRDefault="006349BB">
      <w:pPr>
        <w:rPr>
          <w:rFonts w:ascii="Aptos" w:eastAsia="Aptos" w:hAnsi="Aptos" w:cs="Aptos"/>
          <w:sz w:val="22"/>
          <w:szCs w:val="22"/>
        </w:rPr>
      </w:pPr>
      <w:r>
        <w:rPr>
          <w:rFonts w:ascii="Aptos" w:eastAsia="Aptos" w:hAnsi="Aptos" w:cs="Aptos"/>
          <w:sz w:val="22"/>
          <w:szCs w:val="22"/>
        </w:rPr>
        <w:br w:type="page"/>
      </w:r>
    </w:p>
    <w:p w14:paraId="3833891C" w14:textId="7A3D065A" w:rsidR="009F252C" w:rsidRPr="009F252C" w:rsidRDefault="074661AA" w:rsidP="009F252C">
      <w:pPr>
        <w:spacing w:line="276" w:lineRule="auto"/>
      </w:pPr>
      <w:r>
        <w:rPr>
          <w:noProof/>
        </w:rPr>
        <w:lastRenderedPageBreak/>
        <w:drawing>
          <wp:inline distT="0" distB="0" distL="0" distR="0" wp14:anchorId="51E0EAA9" wp14:editId="50DC6B23">
            <wp:extent cx="1133475" cy="1133475"/>
            <wp:effectExtent l="0" t="0" r="0" b="0"/>
            <wp:docPr id="1645332557" name="drawing">
              <a:extLst xmlns:a="http://schemas.openxmlformats.org/drawingml/2006/main">
                <a:ext uri="{FF2B5EF4-FFF2-40B4-BE49-F238E27FC236}">
                  <a16:creationId xmlns:a16="http://schemas.microsoft.com/office/drawing/2014/main" id="{6E8A8AF0-11C2-4C65-B407-893CD758EA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9767" name="Picture 1107859767"/>
                    <pic:cNvPicPr/>
                  </pic:nvPicPr>
                  <pic:blipFill>
                    <a:blip r:embed="rId10">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inline>
        </w:drawing>
      </w:r>
      <w:r w:rsidR="009F252C">
        <w:tab/>
      </w:r>
      <w:r w:rsidR="009F252C" w:rsidRPr="009F252C">
        <w:drawing>
          <wp:inline distT="0" distB="0" distL="0" distR="0" wp14:anchorId="3E78B7E4" wp14:editId="77079DC8">
            <wp:extent cx="790575" cy="990600"/>
            <wp:effectExtent l="0" t="0" r="9525" b="0"/>
            <wp:docPr id="94094132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a:ln>
                      <a:noFill/>
                    </a:ln>
                  </pic:spPr>
                </pic:pic>
              </a:graphicData>
            </a:graphic>
          </wp:inline>
        </w:drawing>
      </w:r>
    </w:p>
    <w:p w14:paraId="2EB7F2D4" w14:textId="2C1FC480" w:rsidR="34489A7B" w:rsidRDefault="34489A7B" w:rsidP="773DFDB2">
      <w:pPr>
        <w:spacing w:line="276" w:lineRule="auto"/>
      </w:pPr>
    </w:p>
    <w:p w14:paraId="66752047" w14:textId="5A81307E" w:rsidR="34489A7B" w:rsidRDefault="34489A7B" w:rsidP="006349BB">
      <w:pPr>
        <w:spacing w:line="276" w:lineRule="auto"/>
        <w:jc w:val="center"/>
        <w:rPr>
          <w:rFonts w:ascii="Aptos" w:eastAsia="Aptos" w:hAnsi="Aptos" w:cs="Aptos"/>
          <w:b/>
          <w:bCs/>
          <w:color w:val="008080"/>
          <w:sz w:val="22"/>
          <w:szCs w:val="22"/>
        </w:rPr>
      </w:pPr>
      <w:r w:rsidRPr="2F881595">
        <w:rPr>
          <w:rFonts w:ascii="Aptos" w:eastAsia="Aptos" w:hAnsi="Aptos" w:cs="Aptos"/>
          <w:b/>
          <w:bCs/>
          <w:color w:val="008080"/>
          <w:sz w:val="22"/>
          <w:szCs w:val="22"/>
        </w:rPr>
        <w:t>Proposition d’amendement</w:t>
      </w:r>
    </w:p>
    <w:p w14:paraId="4D299099" w14:textId="7CC0E796" w:rsidR="34489A7B" w:rsidRDefault="34489A7B" w:rsidP="006349BB">
      <w:pPr>
        <w:spacing w:line="276" w:lineRule="auto"/>
        <w:jc w:val="center"/>
        <w:rPr>
          <w:rFonts w:ascii="Aptos" w:eastAsia="Aptos" w:hAnsi="Aptos" w:cs="Aptos"/>
          <w:b/>
          <w:bCs/>
          <w:color w:val="008080"/>
          <w:sz w:val="22"/>
          <w:szCs w:val="22"/>
        </w:rPr>
      </w:pPr>
      <w:r w:rsidRPr="47C96873">
        <w:rPr>
          <w:rFonts w:ascii="Aptos" w:eastAsia="Aptos" w:hAnsi="Aptos" w:cs="Aptos"/>
          <w:b/>
          <w:bCs/>
          <w:color w:val="008080"/>
          <w:sz w:val="22"/>
          <w:szCs w:val="22"/>
        </w:rPr>
        <w:t>Proposition de loi apportant une réponse intégrale au phénomène des violences sexuelles et sexistes contre les femmes et les enfants</w:t>
      </w:r>
      <w:r w:rsidR="24F1A090" w:rsidRPr="47C96873">
        <w:rPr>
          <w:rFonts w:ascii="Aptos" w:eastAsia="Aptos" w:hAnsi="Aptos" w:cs="Aptos"/>
          <w:b/>
          <w:bCs/>
          <w:color w:val="008080"/>
          <w:sz w:val="22"/>
          <w:szCs w:val="22"/>
        </w:rPr>
        <w:t xml:space="preserve"> -</w:t>
      </w:r>
      <w:r w:rsidRPr="47C96873">
        <w:rPr>
          <w:rFonts w:ascii="Aptos" w:eastAsia="Aptos" w:hAnsi="Aptos" w:cs="Aptos"/>
          <w:b/>
          <w:bCs/>
          <w:color w:val="008080"/>
          <w:sz w:val="22"/>
          <w:szCs w:val="22"/>
        </w:rPr>
        <w:t xml:space="preserve"> n° 3106</w:t>
      </w:r>
    </w:p>
    <w:p w14:paraId="6F815E7B" w14:textId="44C949E5" w:rsidR="34489A7B" w:rsidRDefault="34489A7B" w:rsidP="2F881595">
      <w:pPr>
        <w:spacing w:line="276" w:lineRule="auto"/>
        <w:jc w:val="right"/>
        <w:rPr>
          <w:rFonts w:ascii="Aptos" w:eastAsia="Aptos" w:hAnsi="Aptos" w:cs="Aptos"/>
          <w:b/>
          <w:bCs/>
          <w:color w:val="008080"/>
          <w:sz w:val="22"/>
          <w:szCs w:val="22"/>
        </w:rPr>
      </w:pPr>
    </w:p>
    <w:p w14:paraId="7E141DDF" w14:textId="1E84E351" w:rsidR="34489A7B" w:rsidRDefault="34489A7B" w:rsidP="2F881595">
      <w:pPr>
        <w:spacing w:line="276" w:lineRule="auto"/>
        <w:jc w:val="center"/>
        <w:rPr>
          <w:rFonts w:ascii="Aptos" w:eastAsia="Aptos" w:hAnsi="Aptos" w:cs="Aptos"/>
          <w:b/>
          <w:bCs/>
          <w:color w:val="008080"/>
          <w:sz w:val="22"/>
          <w:szCs w:val="22"/>
        </w:rPr>
      </w:pPr>
      <w:r w:rsidRPr="2F881595">
        <w:rPr>
          <w:rFonts w:ascii="Aptos" w:eastAsia="Aptos" w:hAnsi="Aptos" w:cs="Aptos"/>
          <w:b/>
          <w:bCs/>
          <w:color w:val="008080"/>
          <w:sz w:val="22"/>
          <w:szCs w:val="22"/>
        </w:rPr>
        <w:t>Article 16</w:t>
      </w:r>
    </w:p>
    <w:p w14:paraId="6596DC93" w14:textId="5F1C8591" w:rsidR="34489A7B" w:rsidRDefault="34489A7B" w:rsidP="47C96873">
      <w:pPr>
        <w:spacing w:line="276" w:lineRule="auto"/>
        <w:jc w:val="center"/>
        <w:rPr>
          <w:rFonts w:ascii="Aptos" w:eastAsia="Aptos" w:hAnsi="Aptos" w:cs="Aptos"/>
          <w:b/>
          <w:bCs/>
          <w:sz w:val="22"/>
          <w:szCs w:val="22"/>
        </w:rPr>
      </w:pPr>
      <w:r w:rsidRPr="47C96873">
        <w:rPr>
          <w:rFonts w:ascii="Aptos" w:eastAsia="Aptos" w:hAnsi="Aptos" w:cs="Aptos"/>
          <w:b/>
          <w:bCs/>
          <w:sz w:val="22"/>
          <w:szCs w:val="22"/>
        </w:rPr>
        <w:t xml:space="preserve">Amendement </w:t>
      </w:r>
      <w:r w:rsidR="0FF77291" w:rsidRPr="47C96873">
        <w:rPr>
          <w:rFonts w:ascii="Aptos" w:eastAsia="Aptos" w:hAnsi="Aptos" w:cs="Aptos"/>
          <w:b/>
          <w:bCs/>
          <w:sz w:val="22"/>
          <w:szCs w:val="22"/>
        </w:rPr>
        <w:t>n°6</w:t>
      </w:r>
    </w:p>
    <w:p w14:paraId="1E77C6FE" w14:textId="3A793E07" w:rsidR="34489A7B" w:rsidRDefault="34489A7B" w:rsidP="2F881595">
      <w:pPr>
        <w:spacing w:line="276" w:lineRule="auto"/>
        <w:rPr>
          <w:rFonts w:ascii="Aptos" w:eastAsia="Aptos" w:hAnsi="Aptos" w:cs="Aptos"/>
          <w:sz w:val="22"/>
          <w:szCs w:val="22"/>
        </w:rPr>
      </w:pPr>
      <w:r w:rsidRPr="2F881595">
        <w:rPr>
          <w:rFonts w:ascii="Aptos" w:eastAsia="Aptos" w:hAnsi="Aptos" w:cs="Aptos"/>
          <w:sz w:val="22"/>
          <w:szCs w:val="22"/>
        </w:rPr>
        <w:t>Le 5 alinéa est ainsi remplacé :</w:t>
      </w:r>
    </w:p>
    <w:p w14:paraId="22688AD9" w14:textId="45E98B7F" w:rsidR="34489A7B" w:rsidRDefault="34489A7B" w:rsidP="47C96873">
      <w:pPr>
        <w:spacing w:line="276" w:lineRule="auto"/>
        <w:rPr>
          <w:rFonts w:ascii="Aptos" w:eastAsia="Aptos" w:hAnsi="Aptos" w:cs="Aptos"/>
          <w:i/>
          <w:iCs/>
          <w:sz w:val="22"/>
          <w:szCs w:val="22"/>
        </w:rPr>
      </w:pPr>
      <w:r w:rsidRPr="47C96873">
        <w:rPr>
          <w:rFonts w:ascii="Aptos" w:eastAsia="Aptos" w:hAnsi="Aptos" w:cs="Aptos"/>
          <w:i/>
          <w:iCs/>
          <w:sz w:val="22"/>
          <w:szCs w:val="22"/>
        </w:rPr>
        <w:t xml:space="preserve">“ a) </w:t>
      </w:r>
      <w:r w:rsidR="2D9B106B" w:rsidRPr="47C96873">
        <w:rPr>
          <w:rFonts w:ascii="Aptos" w:eastAsia="Aptos" w:hAnsi="Aptos" w:cs="Aptos"/>
          <w:i/>
          <w:iCs/>
          <w:sz w:val="22"/>
          <w:szCs w:val="22"/>
        </w:rPr>
        <w:t>e Sont supprimés les mots “de quinze ans” au 2°</w:t>
      </w:r>
      <w:r w:rsidR="6AA11A1C" w:rsidRPr="47C96873">
        <w:rPr>
          <w:rFonts w:ascii="Aptos" w:eastAsia="Aptos" w:hAnsi="Aptos" w:cs="Aptos"/>
          <w:i/>
          <w:iCs/>
          <w:sz w:val="22"/>
          <w:szCs w:val="22"/>
        </w:rPr>
        <w:t xml:space="preserve">; </w:t>
      </w:r>
    </w:p>
    <w:p w14:paraId="7990A456" w14:textId="46A7826E" w:rsidR="34489A7B" w:rsidRDefault="6AA11A1C" w:rsidP="47C96873">
      <w:pPr>
        <w:spacing w:line="276" w:lineRule="auto"/>
        <w:rPr>
          <w:rFonts w:ascii="Aptos" w:eastAsia="Aptos" w:hAnsi="Aptos" w:cs="Aptos"/>
          <w:i/>
          <w:iCs/>
          <w:sz w:val="22"/>
          <w:szCs w:val="22"/>
        </w:rPr>
      </w:pPr>
      <w:r w:rsidRPr="47C96873">
        <w:rPr>
          <w:rFonts w:ascii="Aptos" w:eastAsia="Aptos" w:hAnsi="Aptos" w:cs="Aptos"/>
          <w:i/>
          <w:iCs/>
          <w:sz w:val="22"/>
          <w:szCs w:val="22"/>
        </w:rPr>
        <w:t xml:space="preserve">   </w:t>
      </w:r>
      <w:r w:rsidR="2D9B106B" w:rsidRPr="47C96873">
        <w:rPr>
          <w:rFonts w:ascii="Aptos" w:eastAsia="Aptos" w:hAnsi="Aptos" w:cs="Aptos"/>
          <w:i/>
          <w:iCs/>
          <w:sz w:val="22"/>
          <w:szCs w:val="22"/>
        </w:rPr>
        <w:t xml:space="preserve">b) est supprimé le 10° </w:t>
      </w:r>
      <w:r w:rsidR="34489A7B" w:rsidRPr="47C96873">
        <w:rPr>
          <w:rFonts w:ascii="Aptos" w:eastAsia="Aptos" w:hAnsi="Aptos" w:cs="Aptos"/>
          <w:i/>
          <w:iCs/>
          <w:sz w:val="22"/>
          <w:szCs w:val="22"/>
        </w:rPr>
        <w:t xml:space="preserve"> .”</w:t>
      </w:r>
    </w:p>
    <w:p w14:paraId="71F43469" w14:textId="373BB0E1" w:rsidR="34489A7B" w:rsidRDefault="34489A7B" w:rsidP="2F881595">
      <w:pPr>
        <w:spacing w:line="276" w:lineRule="auto"/>
        <w:rPr>
          <w:rFonts w:ascii="Aptos" w:eastAsia="Aptos" w:hAnsi="Aptos" w:cs="Aptos"/>
          <w:i/>
          <w:iCs/>
          <w:sz w:val="22"/>
          <w:szCs w:val="22"/>
        </w:rPr>
      </w:pPr>
    </w:p>
    <w:p w14:paraId="315F7C98" w14:textId="77777777" w:rsidR="006349BB" w:rsidRDefault="006349BB" w:rsidP="006349BB">
      <w:pPr>
        <w:spacing w:line="276" w:lineRule="auto"/>
        <w:jc w:val="center"/>
        <w:rPr>
          <w:rFonts w:ascii="Aptos" w:eastAsia="Aptos" w:hAnsi="Aptos" w:cs="Aptos"/>
          <w:color w:val="000000" w:themeColor="text1"/>
          <w:sz w:val="22"/>
          <w:szCs w:val="22"/>
        </w:rPr>
      </w:pPr>
      <w:r w:rsidRPr="47C96873">
        <w:rPr>
          <w:rFonts w:ascii="Aptos" w:eastAsia="Aptos" w:hAnsi="Aptos" w:cs="Aptos"/>
          <w:b/>
          <w:bCs/>
          <w:color w:val="000000" w:themeColor="text1"/>
          <w:sz w:val="22"/>
          <w:szCs w:val="22"/>
        </w:rPr>
        <w:t>Exposé des motifs :</w:t>
      </w:r>
    </w:p>
    <w:p w14:paraId="330360F2" w14:textId="1AD2C78F" w:rsidR="34489A7B" w:rsidRDefault="644A5A94" w:rsidP="773DFDB2">
      <w:pPr>
        <w:spacing w:line="276" w:lineRule="auto"/>
        <w:rPr>
          <w:rFonts w:ascii="Aptos" w:eastAsia="Aptos" w:hAnsi="Aptos" w:cs="Aptos"/>
          <w:sz w:val="22"/>
          <w:szCs w:val="22"/>
        </w:rPr>
      </w:pPr>
      <w:r w:rsidRPr="773DFDB2">
        <w:rPr>
          <w:rFonts w:ascii="Aptos" w:eastAsia="Aptos" w:hAnsi="Aptos" w:cs="Aptos"/>
          <w:sz w:val="22"/>
          <w:szCs w:val="22"/>
        </w:rPr>
        <w:t xml:space="preserve">Cet amendement a pour objet d’inscrire dans la loi qu’un viol sur mineur doit être considéré comme une circonstance aggravante quel que soit l’âge de la victime, </w:t>
      </w:r>
      <w:r w:rsidR="610825AE" w:rsidRPr="773DFDB2">
        <w:rPr>
          <w:rFonts w:ascii="Aptos" w:eastAsia="Aptos" w:hAnsi="Aptos" w:cs="Aptos"/>
          <w:sz w:val="22"/>
          <w:szCs w:val="22"/>
        </w:rPr>
        <w:t xml:space="preserve">dans un souci de </w:t>
      </w:r>
      <w:r w:rsidRPr="773DFDB2">
        <w:rPr>
          <w:rFonts w:ascii="Aptos" w:eastAsia="Aptos" w:hAnsi="Aptos" w:cs="Aptos"/>
          <w:sz w:val="22"/>
          <w:szCs w:val="22"/>
        </w:rPr>
        <w:t xml:space="preserve">cohérence avec les autres dispositions du texte. </w:t>
      </w:r>
    </w:p>
    <w:p w14:paraId="73A2EF1E" w14:textId="40DE5DE3" w:rsidR="34489A7B" w:rsidRDefault="5654C085" w:rsidP="773DFDB2">
      <w:pPr>
        <w:spacing w:line="276" w:lineRule="auto"/>
        <w:rPr>
          <w:rFonts w:ascii="Aptos" w:eastAsia="Aptos" w:hAnsi="Aptos" w:cs="Aptos"/>
          <w:sz w:val="22"/>
          <w:szCs w:val="22"/>
        </w:rPr>
      </w:pPr>
      <w:r w:rsidRPr="773DFDB2">
        <w:rPr>
          <w:rFonts w:ascii="Aptos" w:eastAsia="Aptos" w:hAnsi="Aptos" w:cs="Aptos"/>
          <w:sz w:val="22"/>
          <w:szCs w:val="22"/>
        </w:rPr>
        <w:t>En effet, l</w:t>
      </w:r>
      <w:r w:rsidR="644A5A94" w:rsidRPr="773DFDB2">
        <w:rPr>
          <w:rFonts w:ascii="Aptos" w:eastAsia="Aptos" w:hAnsi="Aptos" w:cs="Aptos"/>
          <w:sz w:val="22"/>
          <w:szCs w:val="22"/>
        </w:rPr>
        <w:t xml:space="preserve">a présente loi renforce déjà la répression de l’exploitation sexuelle des enfants de plus de 15 ans et supprime la clause dite” </w:t>
      </w:r>
      <w:r w:rsidR="644A5A94" w:rsidRPr="773DFDB2">
        <w:rPr>
          <w:rFonts w:ascii="Aptos" w:eastAsia="Aptos" w:hAnsi="Aptos" w:cs="Aptos"/>
          <w:i/>
          <w:iCs/>
          <w:sz w:val="22"/>
          <w:szCs w:val="22"/>
        </w:rPr>
        <w:t>Roméo et Juliette</w:t>
      </w:r>
      <w:r w:rsidR="644A5A94" w:rsidRPr="773DFDB2">
        <w:rPr>
          <w:rFonts w:ascii="Aptos" w:eastAsia="Aptos" w:hAnsi="Aptos" w:cs="Aptos"/>
          <w:sz w:val="22"/>
          <w:szCs w:val="22"/>
        </w:rPr>
        <w:t>” pour les mineurs de moins de 15 ans. Il manque cependant dans l’échelle des peines du viol, une circonstance aggravante tenant à la s</w:t>
      </w:r>
      <w:r w:rsidR="261EACEA" w:rsidRPr="773DFDB2">
        <w:rPr>
          <w:rFonts w:ascii="Aptos" w:eastAsia="Aptos" w:hAnsi="Aptos" w:cs="Aptos"/>
          <w:sz w:val="22"/>
          <w:szCs w:val="22"/>
        </w:rPr>
        <w:t>eule</w:t>
      </w:r>
      <w:r w:rsidR="644A5A94" w:rsidRPr="773DFDB2">
        <w:rPr>
          <w:rFonts w:ascii="Aptos" w:eastAsia="Aptos" w:hAnsi="Aptos" w:cs="Aptos"/>
          <w:sz w:val="22"/>
          <w:szCs w:val="22"/>
        </w:rPr>
        <w:t xml:space="preserve"> qualité du min</w:t>
      </w:r>
      <w:r w:rsidR="2CDC0897" w:rsidRPr="773DFDB2">
        <w:rPr>
          <w:rFonts w:ascii="Aptos" w:eastAsia="Aptos" w:hAnsi="Aptos" w:cs="Aptos"/>
          <w:sz w:val="22"/>
          <w:szCs w:val="22"/>
        </w:rPr>
        <w:t>eur sans faire référence à son âge.</w:t>
      </w:r>
    </w:p>
    <w:p w14:paraId="7BA6DB48" w14:textId="0AC90C3A" w:rsidR="34489A7B" w:rsidRDefault="6BF1196F" w:rsidP="773DFDB2">
      <w:pPr>
        <w:spacing w:line="276" w:lineRule="auto"/>
        <w:rPr>
          <w:rFonts w:ascii="Aptos" w:eastAsia="Aptos" w:hAnsi="Aptos" w:cs="Aptos"/>
          <w:sz w:val="22"/>
          <w:szCs w:val="22"/>
        </w:rPr>
      </w:pPr>
      <w:r w:rsidRPr="47C96873">
        <w:rPr>
          <w:rFonts w:ascii="Aptos" w:eastAsia="Aptos" w:hAnsi="Aptos" w:cs="Aptos"/>
          <w:sz w:val="22"/>
          <w:szCs w:val="22"/>
        </w:rPr>
        <w:t>U</w:t>
      </w:r>
      <w:r w:rsidR="644A5A94" w:rsidRPr="47C96873">
        <w:rPr>
          <w:rFonts w:ascii="Aptos" w:eastAsia="Aptos" w:hAnsi="Aptos" w:cs="Aptos"/>
          <w:sz w:val="22"/>
          <w:szCs w:val="22"/>
        </w:rPr>
        <w:t xml:space="preserve">n enfant </w:t>
      </w:r>
      <w:r w:rsidR="4E27A244" w:rsidRPr="47C96873">
        <w:rPr>
          <w:rFonts w:ascii="Aptos" w:eastAsia="Aptos" w:hAnsi="Aptos" w:cs="Aptos"/>
          <w:sz w:val="22"/>
          <w:szCs w:val="22"/>
        </w:rPr>
        <w:t>de 15 ans et plus</w:t>
      </w:r>
      <w:r w:rsidR="45573E22" w:rsidRPr="47C96873">
        <w:rPr>
          <w:rFonts w:ascii="Aptos" w:eastAsia="Aptos" w:hAnsi="Aptos" w:cs="Aptos"/>
          <w:sz w:val="22"/>
          <w:szCs w:val="22"/>
        </w:rPr>
        <w:t>,</w:t>
      </w:r>
      <w:r w:rsidR="4E27A244" w:rsidRPr="47C96873">
        <w:rPr>
          <w:rFonts w:ascii="Aptos" w:eastAsia="Aptos" w:hAnsi="Aptos" w:cs="Aptos"/>
          <w:sz w:val="22"/>
          <w:szCs w:val="22"/>
        </w:rPr>
        <w:t xml:space="preserve"> </w:t>
      </w:r>
      <w:r w:rsidR="644A5A94" w:rsidRPr="47C96873">
        <w:rPr>
          <w:rFonts w:ascii="Aptos" w:eastAsia="Aptos" w:hAnsi="Aptos" w:cs="Aptos"/>
          <w:sz w:val="22"/>
          <w:szCs w:val="22"/>
        </w:rPr>
        <w:t>est un adolescent en</w:t>
      </w:r>
      <w:r w:rsidR="73F8E3B9" w:rsidRPr="47C96873">
        <w:rPr>
          <w:rFonts w:ascii="Aptos" w:eastAsia="Aptos" w:hAnsi="Aptos" w:cs="Aptos"/>
          <w:sz w:val="22"/>
          <w:szCs w:val="22"/>
        </w:rPr>
        <w:t xml:space="preserve"> pleine</w:t>
      </w:r>
      <w:r w:rsidR="644A5A94" w:rsidRPr="47C96873">
        <w:rPr>
          <w:rFonts w:ascii="Aptos" w:eastAsia="Aptos" w:hAnsi="Aptos" w:cs="Aptos"/>
          <w:sz w:val="22"/>
          <w:szCs w:val="22"/>
        </w:rPr>
        <w:t xml:space="preserve"> construction qu’il convient de protéger </w:t>
      </w:r>
      <w:r w:rsidR="007A6695" w:rsidRPr="47C96873">
        <w:rPr>
          <w:rFonts w:ascii="Aptos" w:eastAsia="Aptos" w:hAnsi="Aptos" w:cs="Aptos"/>
          <w:sz w:val="22"/>
          <w:szCs w:val="22"/>
        </w:rPr>
        <w:t xml:space="preserve">au même titre que </w:t>
      </w:r>
      <w:r w:rsidR="00DD1E7E" w:rsidRPr="47C96873">
        <w:rPr>
          <w:rFonts w:ascii="Aptos" w:eastAsia="Aptos" w:hAnsi="Aptos" w:cs="Aptos"/>
          <w:sz w:val="22"/>
          <w:szCs w:val="22"/>
        </w:rPr>
        <w:t>ceux de moins de 15 ans.</w:t>
      </w:r>
    </w:p>
    <w:p w14:paraId="232A0D0E" w14:textId="075CCDC6" w:rsidR="006349BB" w:rsidRDefault="006349BB">
      <w:pPr>
        <w:rPr>
          <w:rFonts w:ascii="Aptos" w:eastAsia="Aptos" w:hAnsi="Aptos" w:cs="Aptos"/>
          <w:sz w:val="22"/>
          <w:szCs w:val="22"/>
        </w:rPr>
      </w:pPr>
      <w:r>
        <w:rPr>
          <w:rFonts w:ascii="Aptos" w:eastAsia="Aptos" w:hAnsi="Aptos" w:cs="Aptos"/>
          <w:sz w:val="22"/>
          <w:szCs w:val="22"/>
        </w:rPr>
        <w:br w:type="page"/>
      </w:r>
    </w:p>
    <w:p w14:paraId="5AAF9AE7" w14:textId="1633C77E" w:rsidR="009F252C" w:rsidRPr="009F252C" w:rsidRDefault="40014297" w:rsidP="009F252C">
      <w:pPr>
        <w:spacing w:line="276" w:lineRule="auto"/>
      </w:pPr>
      <w:r>
        <w:rPr>
          <w:noProof/>
        </w:rPr>
        <w:lastRenderedPageBreak/>
        <w:drawing>
          <wp:inline distT="0" distB="0" distL="0" distR="0" wp14:anchorId="3DA68484" wp14:editId="46306CEF">
            <wp:extent cx="1133475" cy="1133475"/>
            <wp:effectExtent l="0" t="0" r="0" b="0"/>
            <wp:docPr id="816786811" name="drawing">
              <a:extLst xmlns:a="http://schemas.openxmlformats.org/drawingml/2006/main">
                <a:ext uri="{FF2B5EF4-FFF2-40B4-BE49-F238E27FC236}">
                  <a16:creationId xmlns:a16="http://schemas.microsoft.com/office/drawing/2014/main" id="{94221D12-7E6F-47D6-AA46-C267AD809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9767" name="Picture 1107859767"/>
                    <pic:cNvPicPr/>
                  </pic:nvPicPr>
                  <pic:blipFill>
                    <a:blip r:embed="rId10">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inline>
        </w:drawing>
      </w:r>
      <w:r w:rsidR="009F252C">
        <w:tab/>
      </w:r>
      <w:r w:rsidR="009F252C" w:rsidRPr="009F252C">
        <w:drawing>
          <wp:inline distT="0" distB="0" distL="0" distR="0" wp14:anchorId="16371865" wp14:editId="550E071D">
            <wp:extent cx="790575" cy="990600"/>
            <wp:effectExtent l="0" t="0" r="9525" b="0"/>
            <wp:docPr id="99910780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990600"/>
                    </a:xfrm>
                    <a:prstGeom prst="rect">
                      <a:avLst/>
                    </a:prstGeom>
                    <a:noFill/>
                    <a:ln>
                      <a:noFill/>
                    </a:ln>
                  </pic:spPr>
                </pic:pic>
              </a:graphicData>
            </a:graphic>
          </wp:inline>
        </w:drawing>
      </w:r>
    </w:p>
    <w:p w14:paraId="0DEA19C9" w14:textId="1DD6834F" w:rsidR="34489A7B" w:rsidRDefault="34489A7B" w:rsidP="773DFDB2">
      <w:pPr>
        <w:spacing w:line="276" w:lineRule="auto"/>
      </w:pPr>
    </w:p>
    <w:p w14:paraId="6E9665AF" w14:textId="54FA0F85" w:rsidR="34489A7B" w:rsidRDefault="34489A7B" w:rsidP="006349BB">
      <w:pPr>
        <w:spacing w:line="276" w:lineRule="auto"/>
        <w:jc w:val="center"/>
        <w:rPr>
          <w:rFonts w:ascii="Aptos" w:eastAsia="Aptos" w:hAnsi="Aptos" w:cs="Aptos"/>
          <w:b/>
          <w:bCs/>
          <w:color w:val="008080"/>
          <w:sz w:val="22"/>
          <w:szCs w:val="22"/>
        </w:rPr>
      </w:pPr>
      <w:r w:rsidRPr="2F881595">
        <w:rPr>
          <w:rFonts w:ascii="Aptos" w:eastAsia="Aptos" w:hAnsi="Aptos" w:cs="Aptos"/>
          <w:b/>
          <w:bCs/>
          <w:color w:val="008080"/>
          <w:sz w:val="22"/>
          <w:szCs w:val="22"/>
        </w:rPr>
        <w:t>Proposition d’amendement</w:t>
      </w:r>
    </w:p>
    <w:p w14:paraId="20BF2A07" w14:textId="132676DA" w:rsidR="34489A7B" w:rsidRDefault="34489A7B" w:rsidP="006349BB">
      <w:pPr>
        <w:spacing w:line="276" w:lineRule="auto"/>
        <w:jc w:val="center"/>
        <w:rPr>
          <w:rFonts w:ascii="Aptos" w:eastAsia="Aptos" w:hAnsi="Aptos" w:cs="Aptos"/>
          <w:b/>
          <w:bCs/>
          <w:color w:val="008080"/>
          <w:sz w:val="22"/>
          <w:szCs w:val="22"/>
        </w:rPr>
      </w:pPr>
      <w:r w:rsidRPr="47C96873">
        <w:rPr>
          <w:rFonts w:ascii="Aptos" w:eastAsia="Aptos" w:hAnsi="Aptos" w:cs="Aptos"/>
          <w:b/>
          <w:bCs/>
          <w:color w:val="008080"/>
          <w:sz w:val="22"/>
          <w:szCs w:val="22"/>
        </w:rPr>
        <w:t>Proposition de loi apportant une réponse intégrale au phénomène des violences sexuelles et sexistes contre les femmes et les enfants</w:t>
      </w:r>
      <w:r w:rsidR="57FD2BC3" w:rsidRPr="47C96873">
        <w:rPr>
          <w:rFonts w:ascii="Aptos" w:eastAsia="Aptos" w:hAnsi="Aptos" w:cs="Aptos"/>
          <w:b/>
          <w:bCs/>
          <w:color w:val="008080"/>
          <w:sz w:val="22"/>
          <w:szCs w:val="22"/>
        </w:rPr>
        <w:t xml:space="preserve"> -</w:t>
      </w:r>
      <w:r w:rsidRPr="47C96873">
        <w:rPr>
          <w:rFonts w:ascii="Aptos" w:eastAsia="Aptos" w:hAnsi="Aptos" w:cs="Aptos"/>
          <w:b/>
          <w:bCs/>
          <w:color w:val="008080"/>
          <w:sz w:val="22"/>
          <w:szCs w:val="22"/>
        </w:rPr>
        <w:t xml:space="preserve"> n° 3106</w:t>
      </w:r>
    </w:p>
    <w:p w14:paraId="0801D249" w14:textId="550B0DAE" w:rsidR="34489A7B" w:rsidRDefault="34489A7B" w:rsidP="2F881595">
      <w:pPr>
        <w:spacing w:line="276" w:lineRule="auto"/>
        <w:jc w:val="right"/>
        <w:rPr>
          <w:rFonts w:ascii="Aptos" w:eastAsia="Aptos" w:hAnsi="Aptos" w:cs="Aptos"/>
          <w:b/>
          <w:bCs/>
          <w:color w:val="008080"/>
          <w:sz w:val="22"/>
          <w:szCs w:val="22"/>
        </w:rPr>
      </w:pPr>
    </w:p>
    <w:p w14:paraId="7A922AD7" w14:textId="103DB37D" w:rsidR="34489A7B" w:rsidRDefault="34489A7B" w:rsidP="2F881595">
      <w:pPr>
        <w:spacing w:line="276" w:lineRule="auto"/>
        <w:jc w:val="center"/>
        <w:rPr>
          <w:rFonts w:ascii="Aptos" w:eastAsia="Aptos" w:hAnsi="Aptos" w:cs="Aptos"/>
          <w:b/>
          <w:bCs/>
          <w:color w:val="008080"/>
          <w:sz w:val="22"/>
          <w:szCs w:val="22"/>
        </w:rPr>
      </w:pPr>
      <w:r w:rsidRPr="2F881595">
        <w:rPr>
          <w:rFonts w:ascii="Aptos" w:eastAsia="Aptos" w:hAnsi="Aptos" w:cs="Aptos"/>
          <w:b/>
          <w:bCs/>
          <w:color w:val="008080"/>
          <w:sz w:val="22"/>
          <w:szCs w:val="22"/>
        </w:rPr>
        <w:t>Article 31</w:t>
      </w:r>
    </w:p>
    <w:p w14:paraId="6402938A" w14:textId="6E26FD2B" w:rsidR="34489A7B" w:rsidRDefault="34489A7B" w:rsidP="47C96873">
      <w:pPr>
        <w:spacing w:line="276" w:lineRule="auto"/>
        <w:jc w:val="center"/>
        <w:rPr>
          <w:rFonts w:ascii="Aptos" w:eastAsia="Aptos" w:hAnsi="Aptos" w:cs="Aptos"/>
          <w:b/>
          <w:bCs/>
          <w:sz w:val="22"/>
          <w:szCs w:val="22"/>
        </w:rPr>
      </w:pPr>
      <w:r w:rsidRPr="47C96873">
        <w:rPr>
          <w:rFonts w:ascii="Aptos" w:eastAsia="Aptos" w:hAnsi="Aptos" w:cs="Aptos"/>
          <w:b/>
          <w:bCs/>
          <w:sz w:val="22"/>
          <w:szCs w:val="22"/>
        </w:rPr>
        <w:t xml:space="preserve">Amendement </w:t>
      </w:r>
      <w:r w:rsidR="773232F8" w:rsidRPr="47C96873">
        <w:rPr>
          <w:rFonts w:ascii="Aptos" w:eastAsia="Aptos" w:hAnsi="Aptos" w:cs="Aptos"/>
          <w:b/>
          <w:bCs/>
          <w:sz w:val="22"/>
          <w:szCs w:val="22"/>
        </w:rPr>
        <w:t>n°7</w:t>
      </w:r>
    </w:p>
    <w:p w14:paraId="04D1AB01" w14:textId="1E34E2FF" w:rsidR="34489A7B" w:rsidRDefault="644A5A94" w:rsidP="2F881595">
      <w:pPr>
        <w:spacing w:line="276" w:lineRule="auto"/>
        <w:rPr>
          <w:rFonts w:ascii="Aptos" w:eastAsia="Aptos" w:hAnsi="Aptos" w:cs="Aptos"/>
          <w:sz w:val="22"/>
          <w:szCs w:val="22"/>
        </w:rPr>
      </w:pPr>
      <w:r w:rsidRPr="773DFDB2">
        <w:rPr>
          <w:rFonts w:ascii="Aptos" w:eastAsia="Aptos" w:hAnsi="Aptos" w:cs="Aptos"/>
          <w:sz w:val="22"/>
          <w:szCs w:val="22"/>
        </w:rPr>
        <w:t>Il est ajouté après le mot : “</w:t>
      </w:r>
      <w:r w:rsidRPr="773DFDB2">
        <w:rPr>
          <w:rFonts w:ascii="Aptos" w:eastAsia="Aptos" w:hAnsi="Aptos" w:cs="Aptos"/>
          <w:i/>
          <w:iCs/>
          <w:sz w:val="22"/>
          <w:szCs w:val="22"/>
        </w:rPr>
        <w:t>mineur”</w:t>
      </w:r>
      <w:r w:rsidRPr="773DFDB2">
        <w:rPr>
          <w:rFonts w:ascii="Aptos" w:eastAsia="Aptos" w:hAnsi="Aptos" w:cs="Aptos"/>
          <w:sz w:val="22"/>
          <w:szCs w:val="22"/>
        </w:rPr>
        <w:t xml:space="preserve"> les mots : </w:t>
      </w:r>
      <w:r w:rsidRPr="773DFDB2">
        <w:rPr>
          <w:rFonts w:ascii="Aptos" w:eastAsia="Aptos" w:hAnsi="Aptos" w:cs="Aptos"/>
          <w:i/>
          <w:iCs/>
          <w:sz w:val="22"/>
          <w:szCs w:val="22"/>
        </w:rPr>
        <w:t>“qu’il soit mis en cause ou</w:t>
      </w:r>
      <w:r w:rsidRPr="773DFDB2">
        <w:rPr>
          <w:rFonts w:ascii="Aptos" w:eastAsia="Aptos" w:hAnsi="Aptos" w:cs="Aptos"/>
          <w:sz w:val="22"/>
          <w:szCs w:val="22"/>
        </w:rPr>
        <w:t>”.</w:t>
      </w:r>
    </w:p>
    <w:p w14:paraId="200E0584" w14:textId="2418C0F4" w:rsidR="34489A7B" w:rsidRPr="006349BB" w:rsidRDefault="34489A7B" w:rsidP="2F881595">
      <w:pPr>
        <w:spacing w:line="276" w:lineRule="auto"/>
        <w:rPr>
          <w:rFonts w:ascii="Aptos" w:eastAsia="Aptos" w:hAnsi="Aptos" w:cs="Aptos"/>
          <w:sz w:val="22"/>
          <w:szCs w:val="22"/>
        </w:rPr>
      </w:pPr>
    </w:p>
    <w:p w14:paraId="07FD8387" w14:textId="77777777" w:rsidR="006349BB" w:rsidRDefault="006349BB" w:rsidP="006349BB">
      <w:pPr>
        <w:spacing w:line="276" w:lineRule="auto"/>
        <w:jc w:val="center"/>
        <w:rPr>
          <w:rFonts w:ascii="Aptos" w:eastAsia="Aptos" w:hAnsi="Aptos" w:cs="Aptos"/>
          <w:color w:val="000000" w:themeColor="text1"/>
          <w:sz w:val="22"/>
          <w:szCs w:val="22"/>
        </w:rPr>
      </w:pPr>
      <w:r w:rsidRPr="47C96873">
        <w:rPr>
          <w:rFonts w:ascii="Aptos" w:eastAsia="Aptos" w:hAnsi="Aptos" w:cs="Aptos"/>
          <w:b/>
          <w:bCs/>
          <w:color w:val="000000" w:themeColor="text1"/>
          <w:sz w:val="22"/>
          <w:szCs w:val="22"/>
        </w:rPr>
        <w:t>Exposé des motifs :</w:t>
      </w:r>
    </w:p>
    <w:p w14:paraId="5C1C6298" w14:textId="15A9A97F" w:rsidR="34489A7B" w:rsidRDefault="644A5A94" w:rsidP="2F881595">
      <w:pPr>
        <w:spacing w:line="276" w:lineRule="auto"/>
        <w:rPr>
          <w:rFonts w:ascii="Aptos" w:eastAsia="Aptos" w:hAnsi="Aptos" w:cs="Aptos"/>
          <w:sz w:val="22"/>
          <w:szCs w:val="22"/>
        </w:rPr>
      </w:pPr>
      <w:r w:rsidRPr="773DFDB2">
        <w:rPr>
          <w:rFonts w:ascii="Aptos" w:eastAsia="Aptos" w:hAnsi="Aptos" w:cs="Aptos"/>
          <w:sz w:val="22"/>
          <w:szCs w:val="22"/>
        </w:rPr>
        <w:t>Cet amendement a pour objet de réintroduire dans la proposition de loi, la garantie pour tous les enfants qu’ils soient victime</w:t>
      </w:r>
      <w:r w:rsidR="32B2971F" w:rsidRPr="773DFDB2">
        <w:rPr>
          <w:rFonts w:ascii="Aptos" w:eastAsia="Aptos" w:hAnsi="Aptos" w:cs="Aptos"/>
          <w:sz w:val="22"/>
          <w:szCs w:val="22"/>
        </w:rPr>
        <w:t>s</w:t>
      </w:r>
      <w:r w:rsidRPr="773DFDB2">
        <w:rPr>
          <w:rFonts w:ascii="Aptos" w:eastAsia="Aptos" w:hAnsi="Aptos" w:cs="Aptos"/>
          <w:sz w:val="22"/>
          <w:szCs w:val="22"/>
        </w:rPr>
        <w:t xml:space="preserve"> ou mis en cause d’être défendus par un avocat et de bénéficier de l’aide juridictionnelle comme le prévoyait initialement l’article 18 de la proposition de loi n°2169 visant à lutter de manière intégrale contre les violences sexistes et sexuelles commises à l’encontre des femmes et des enfants.</w:t>
      </w:r>
    </w:p>
    <w:p w14:paraId="043D83D4" w14:textId="1BEF6333" w:rsidR="34489A7B" w:rsidRDefault="34489A7B" w:rsidP="47C96873">
      <w:pPr>
        <w:spacing w:line="276" w:lineRule="auto"/>
        <w:rPr>
          <w:rFonts w:ascii="Aptos" w:eastAsia="Aptos" w:hAnsi="Aptos" w:cs="Aptos"/>
          <w:i/>
          <w:iCs/>
          <w:sz w:val="22"/>
          <w:szCs w:val="22"/>
        </w:rPr>
      </w:pPr>
      <w:r w:rsidRPr="47C96873">
        <w:rPr>
          <w:rFonts w:ascii="Aptos" w:eastAsia="Aptos" w:hAnsi="Aptos" w:cs="Aptos"/>
          <w:sz w:val="22"/>
          <w:szCs w:val="22"/>
        </w:rPr>
        <w:t>Cette première rédaction respectait les termes de l’article 40 de la convention internationale des droits de l’enfant qui dispose   “</w:t>
      </w:r>
      <w:r w:rsidRPr="47C96873">
        <w:rPr>
          <w:rFonts w:ascii="Aptos" w:eastAsia="Aptos" w:hAnsi="Aptos" w:cs="Aptos"/>
          <w:i/>
          <w:iCs/>
          <w:sz w:val="22"/>
          <w:szCs w:val="22"/>
        </w:rPr>
        <w:t>que tout enfant suspecté ou accusé d'infraction à la loi pénale ait au moins le droit aux garanties</w:t>
      </w:r>
      <w:r w:rsidRPr="47C96873">
        <w:rPr>
          <w:rFonts w:ascii="Aptos" w:eastAsia="Aptos" w:hAnsi="Aptos" w:cs="Aptos"/>
          <w:sz w:val="22"/>
          <w:szCs w:val="22"/>
        </w:rPr>
        <w:t xml:space="preserve"> “de notamment” </w:t>
      </w:r>
      <w:r w:rsidRPr="47C96873">
        <w:rPr>
          <w:rFonts w:ascii="Aptos" w:eastAsia="Aptos" w:hAnsi="Aptos" w:cs="Aptos"/>
          <w:i/>
          <w:iCs/>
          <w:sz w:val="22"/>
          <w:szCs w:val="22"/>
        </w:rPr>
        <w:t>bénéficier d'une assistance juridique ou de toute autre assistance appropriée pour la préparation et la présentation de sa défense  (...), selon une procédure équitable aux termes de la loi, en présence de son conseil juridique ou autre.</w:t>
      </w:r>
    </w:p>
    <w:p w14:paraId="069B119D" w14:textId="6F7AA9FA" w:rsidR="00012F49" w:rsidRPr="00942A24" w:rsidRDefault="41D50C08" w:rsidP="47C96873">
      <w:pPr>
        <w:spacing w:line="276" w:lineRule="auto"/>
        <w:rPr>
          <w:rFonts w:ascii="Aptos" w:eastAsia="Aptos" w:hAnsi="Aptos" w:cs="Aptos"/>
          <w:sz w:val="22"/>
          <w:szCs w:val="22"/>
        </w:rPr>
      </w:pPr>
      <w:r w:rsidRPr="00942A24">
        <w:rPr>
          <w:rFonts w:ascii="Aptos" w:eastAsia="Aptos" w:hAnsi="Aptos" w:cs="Aptos"/>
          <w:sz w:val="22"/>
          <w:szCs w:val="22"/>
        </w:rPr>
        <w:t>Il nous paraît donc essentiel pour les droits de la défense de mineurs auteurs</w:t>
      </w:r>
      <w:r w:rsidR="08E56520" w:rsidRPr="00942A24">
        <w:rPr>
          <w:rFonts w:ascii="Aptos" w:eastAsia="Aptos" w:hAnsi="Aptos" w:cs="Aptos"/>
          <w:sz w:val="22"/>
          <w:szCs w:val="22"/>
        </w:rPr>
        <w:t xml:space="preserve">, </w:t>
      </w:r>
      <w:r w:rsidR="2DCE3A1D" w:rsidRPr="00942A24">
        <w:rPr>
          <w:rFonts w:ascii="Aptos" w:eastAsia="Aptos" w:hAnsi="Aptos" w:cs="Aptos"/>
          <w:sz w:val="22"/>
          <w:szCs w:val="22"/>
        </w:rPr>
        <w:t xml:space="preserve">qui peuvent par ailleurs </w:t>
      </w:r>
      <w:r w:rsidR="5A293973" w:rsidRPr="00942A24">
        <w:rPr>
          <w:rFonts w:ascii="Aptos" w:eastAsia="Aptos" w:hAnsi="Aptos" w:cs="Aptos"/>
          <w:sz w:val="22"/>
          <w:szCs w:val="22"/>
        </w:rPr>
        <w:t>être ou avoir été victimes</w:t>
      </w:r>
      <w:r w:rsidR="229CF52C" w:rsidRPr="00942A24">
        <w:rPr>
          <w:rFonts w:ascii="Aptos" w:eastAsia="Aptos" w:hAnsi="Aptos" w:cs="Aptos"/>
          <w:sz w:val="22"/>
          <w:szCs w:val="22"/>
        </w:rPr>
        <w:t xml:space="preserve"> eux-mêmes</w:t>
      </w:r>
      <w:r w:rsidR="5A293973" w:rsidRPr="00942A24">
        <w:rPr>
          <w:rFonts w:ascii="Aptos" w:eastAsia="Aptos" w:hAnsi="Aptos" w:cs="Aptos"/>
          <w:sz w:val="22"/>
          <w:szCs w:val="22"/>
        </w:rPr>
        <w:t xml:space="preserve">, </w:t>
      </w:r>
      <w:r w:rsidR="7764B4E8" w:rsidRPr="00942A24">
        <w:rPr>
          <w:rFonts w:ascii="Aptos" w:eastAsia="Aptos" w:hAnsi="Aptos" w:cs="Aptos"/>
          <w:sz w:val="22"/>
          <w:szCs w:val="22"/>
        </w:rPr>
        <w:t xml:space="preserve">de réintroduire </w:t>
      </w:r>
      <w:r w:rsidR="229CF52C" w:rsidRPr="00942A24">
        <w:rPr>
          <w:rFonts w:ascii="Aptos" w:eastAsia="Aptos" w:hAnsi="Aptos" w:cs="Aptos"/>
          <w:sz w:val="22"/>
          <w:szCs w:val="22"/>
        </w:rPr>
        <w:t>cette garantie.</w:t>
      </w:r>
    </w:p>
    <w:p w14:paraId="037C4591" w14:textId="64AF0F6E" w:rsidR="006349BB" w:rsidRDefault="006349BB">
      <w:pPr>
        <w:rPr>
          <w:rFonts w:ascii="Aptos" w:eastAsia="Aptos" w:hAnsi="Aptos" w:cs="Aptos"/>
          <w:sz w:val="22"/>
          <w:szCs w:val="22"/>
        </w:rPr>
      </w:pPr>
      <w:r>
        <w:rPr>
          <w:rFonts w:ascii="Aptos" w:eastAsia="Aptos" w:hAnsi="Aptos" w:cs="Aptos"/>
          <w:sz w:val="22"/>
          <w:szCs w:val="22"/>
        </w:rPr>
        <w:br w:type="page"/>
      </w:r>
    </w:p>
    <w:p w14:paraId="0B8FF286" w14:textId="512FF01D" w:rsidR="34489A7B" w:rsidRDefault="2906ECC4" w:rsidP="773DFDB2">
      <w:pPr>
        <w:spacing w:line="276" w:lineRule="auto"/>
      </w:pPr>
      <w:r>
        <w:rPr>
          <w:noProof/>
        </w:rPr>
        <w:lastRenderedPageBreak/>
        <w:drawing>
          <wp:inline distT="0" distB="0" distL="0" distR="0" wp14:anchorId="248969E7" wp14:editId="51046A43">
            <wp:extent cx="1133475" cy="1133475"/>
            <wp:effectExtent l="0" t="0" r="0" b="0"/>
            <wp:docPr id="931920088" name="drawing">
              <a:extLst xmlns:a="http://schemas.openxmlformats.org/drawingml/2006/main">
                <a:ext uri="{FF2B5EF4-FFF2-40B4-BE49-F238E27FC236}">
                  <a16:creationId xmlns:a16="http://schemas.microsoft.com/office/drawing/2014/main" id="{4D4DF7CF-AA7C-4AE1-B3EA-05709D4A9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9767" name="Picture 1107859767"/>
                    <pic:cNvPicPr/>
                  </pic:nvPicPr>
                  <pic:blipFill>
                    <a:blip r:embed="rId10">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inline>
        </w:drawing>
      </w:r>
    </w:p>
    <w:p w14:paraId="772E6D65" w14:textId="67824737" w:rsidR="34489A7B" w:rsidRDefault="34489A7B" w:rsidP="006349BB">
      <w:pPr>
        <w:spacing w:line="276" w:lineRule="auto"/>
        <w:jc w:val="center"/>
        <w:rPr>
          <w:rFonts w:ascii="Aptos" w:eastAsia="Aptos" w:hAnsi="Aptos" w:cs="Aptos"/>
          <w:b/>
          <w:bCs/>
          <w:color w:val="008080"/>
          <w:sz w:val="22"/>
          <w:szCs w:val="22"/>
        </w:rPr>
      </w:pPr>
      <w:r w:rsidRPr="2F881595">
        <w:rPr>
          <w:rFonts w:ascii="Aptos" w:eastAsia="Aptos" w:hAnsi="Aptos" w:cs="Aptos"/>
          <w:b/>
          <w:bCs/>
          <w:color w:val="008080"/>
          <w:sz w:val="22"/>
          <w:szCs w:val="22"/>
        </w:rPr>
        <w:t>Proposition d’amendement</w:t>
      </w:r>
    </w:p>
    <w:p w14:paraId="261400D3" w14:textId="4D3363EB" w:rsidR="34489A7B" w:rsidRDefault="34489A7B" w:rsidP="006349BB">
      <w:pPr>
        <w:spacing w:line="276" w:lineRule="auto"/>
        <w:jc w:val="center"/>
      </w:pPr>
      <w:r w:rsidRPr="47C96873">
        <w:rPr>
          <w:rFonts w:ascii="Aptos" w:eastAsia="Aptos" w:hAnsi="Aptos" w:cs="Aptos"/>
          <w:b/>
          <w:bCs/>
          <w:color w:val="008080"/>
          <w:sz w:val="22"/>
          <w:szCs w:val="22"/>
        </w:rPr>
        <w:t>Proposition de loi apportant une réponse intégrale au phénomène des violences sexuelles et sexistes contre les femmes et les enfants</w:t>
      </w:r>
      <w:r w:rsidR="5F0DC5C8" w:rsidRPr="47C96873">
        <w:rPr>
          <w:rFonts w:ascii="Aptos" w:eastAsia="Aptos" w:hAnsi="Aptos" w:cs="Aptos"/>
          <w:b/>
          <w:bCs/>
          <w:color w:val="008080"/>
          <w:sz w:val="22"/>
          <w:szCs w:val="22"/>
        </w:rPr>
        <w:t xml:space="preserve"> -</w:t>
      </w:r>
      <w:r w:rsidRPr="47C96873">
        <w:rPr>
          <w:rFonts w:ascii="Aptos" w:eastAsia="Aptos" w:hAnsi="Aptos" w:cs="Aptos"/>
          <w:b/>
          <w:bCs/>
          <w:color w:val="008080"/>
          <w:sz w:val="22"/>
          <w:szCs w:val="22"/>
        </w:rPr>
        <w:t>n° 3106</w:t>
      </w:r>
    </w:p>
    <w:p w14:paraId="5AC6C5CF" w14:textId="147F10E7" w:rsidR="34489A7B" w:rsidRDefault="34489A7B" w:rsidP="2F881595">
      <w:pPr>
        <w:spacing w:line="276" w:lineRule="auto"/>
        <w:jc w:val="right"/>
        <w:rPr>
          <w:rFonts w:ascii="Aptos" w:eastAsia="Aptos" w:hAnsi="Aptos" w:cs="Aptos"/>
          <w:b/>
          <w:bCs/>
          <w:color w:val="008080"/>
          <w:sz w:val="22"/>
          <w:szCs w:val="22"/>
        </w:rPr>
      </w:pPr>
      <w:r w:rsidRPr="47C96873">
        <w:rPr>
          <w:rFonts w:ascii="Aptos" w:eastAsia="Aptos" w:hAnsi="Aptos" w:cs="Aptos"/>
          <w:b/>
          <w:bCs/>
          <w:color w:val="008080"/>
          <w:sz w:val="22"/>
          <w:szCs w:val="22"/>
        </w:rPr>
        <w:t xml:space="preserve"> </w:t>
      </w:r>
    </w:p>
    <w:p w14:paraId="32CB0230" w14:textId="714D88D5" w:rsidR="34489A7B" w:rsidRDefault="34489A7B" w:rsidP="2F881595">
      <w:pPr>
        <w:spacing w:line="276" w:lineRule="auto"/>
        <w:jc w:val="center"/>
        <w:rPr>
          <w:rFonts w:ascii="Aptos" w:eastAsia="Aptos" w:hAnsi="Aptos" w:cs="Aptos"/>
          <w:b/>
          <w:bCs/>
          <w:color w:val="008080"/>
          <w:sz w:val="22"/>
          <w:szCs w:val="22"/>
        </w:rPr>
      </w:pPr>
      <w:r w:rsidRPr="2F881595">
        <w:rPr>
          <w:rFonts w:ascii="Aptos" w:eastAsia="Aptos" w:hAnsi="Aptos" w:cs="Aptos"/>
          <w:b/>
          <w:bCs/>
          <w:color w:val="008080"/>
          <w:sz w:val="22"/>
          <w:szCs w:val="22"/>
        </w:rPr>
        <w:t>Article 35</w:t>
      </w:r>
    </w:p>
    <w:p w14:paraId="1105FE22" w14:textId="00A1D40C" w:rsidR="34489A7B" w:rsidRDefault="34489A7B" w:rsidP="47C96873">
      <w:pPr>
        <w:spacing w:line="276" w:lineRule="auto"/>
        <w:jc w:val="center"/>
        <w:rPr>
          <w:rFonts w:ascii="Aptos" w:eastAsia="Aptos" w:hAnsi="Aptos" w:cs="Aptos"/>
          <w:b/>
          <w:bCs/>
          <w:sz w:val="22"/>
          <w:szCs w:val="22"/>
        </w:rPr>
      </w:pPr>
      <w:r w:rsidRPr="47C96873">
        <w:rPr>
          <w:rFonts w:ascii="Aptos" w:eastAsia="Aptos" w:hAnsi="Aptos" w:cs="Aptos"/>
          <w:b/>
          <w:bCs/>
          <w:sz w:val="22"/>
          <w:szCs w:val="22"/>
        </w:rPr>
        <w:t xml:space="preserve">Amendement </w:t>
      </w:r>
      <w:r w:rsidR="738B0326" w:rsidRPr="47C96873">
        <w:rPr>
          <w:rFonts w:ascii="Aptos" w:eastAsia="Aptos" w:hAnsi="Aptos" w:cs="Aptos"/>
          <w:b/>
          <w:bCs/>
          <w:sz w:val="22"/>
          <w:szCs w:val="22"/>
        </w:rPr>
        <w:t>n°8</w:t>
      </w:r>
    </w:p>
    <w:p w14:paraId="0705C62B" w14:textId="1878C611" w:rsidR="34489A7B" w:rsidRDefault="34489A7B" w:rsidP="2F881595">
      <w:pPr>
        <w:spacing w:line="276" w:lineRule="auto"/>
        <w:rPr>
          <w:rFonts w:ascii="Aptos" w:eastAsia="Aptos" w:hAnsi="Aptos" w:cs="Aptos"/>
          <w:sz w:val="22"/>
          <w:szCs w:val="22"/>
        </w:rPr>
      </w:pPr>
      <w:r w:rsidRPr="47C96873">
        <w:rPr>
          <w:rFonts w:ascii="Aptos" w:eastAsia="Aptos" w:hAnsi="Aptos" w:cs="Aptos"/>
          <w:sz w:val="22"/>
          <w:szCs w:val="22"/>
        </w:rPr>
        <w:t>L'article 35 est supprimé</w:t>
      </w:r>
      <w:r w:rsidR="1CFCD298" w:rsidRPr="47C96873">
        <w:rPr>
          <w:rFonts w:ascii="Aptos" w:eastAsia="Aptos" w:hAnsi="Aptos" w:cs="Aptos"/>
          <w:sz w:val="22"/>
          <w:szCs w:val="22"/>
        </w:rPr>
        <w:t>.</w:t>
      </w:r>
    </w:p>
    <w:p w14:paraId="391E43A7" w14:textId="77777777" w:rsidR="006349BB" w:rsidRDefault="006349BB" w:rsidP="2F881595">
      <w:pPr>
        <w:spacing w:line="276" w:lineRule="auto"/>
        <w:rPr>
          <w:rFonts w:ascii="Aptos" w:eastAsia="Aptos" w:hAnsi="Aptos" w:cs="Aptos"/>
          <w:sz w:val="22"/>
          <w:szCs w:val="22"/>
        </w:rPr>
      </w:pPr>
    </w:p>
    <w:p w14:paraId="23AB9914" w14:textId="77777777" w:rsidR="006349BB" w:rsidRDefault="006349BB" w:rsidP="006349BB">
      <w:pPr>
        <w:spacing w:line="276" w:lineRule="auto"/>
        <w:jc w:val="center"/>
        <w:rPr>
          <w:rFonts w:ascii="Aptos" w:eastAsia="Aptos" w:hAnsi="Aptos" w:cs="Aptos"/>
          <w:color w:val="000000" w:themeColor="text1"/>
          <w:sz w:val="22"/>
          <w:szCs w:val="22"/>
        </w:rPr>
      </w:pPr>
      <w:r w:rsidRPr="47C96873">
        <w:rPr>
          <w:rFonts w:ascii="Aptos" w:eastAsia="Aptos" w:hAnsi="Aptos" w:cs="Aptos"/>
          <w:b/>
          <w:bCs/>
          <w:color w:val="000000" w:themeColor="text1"/>
          <w:sz w:val="22"/>
          <w:szCs w:val="22"/>
        </w:rPr>
        <w:t>Exposé des motifs :</w:t>
      </w:r>
    </w:p>
    <w:p w14:paraId="43AFA827" w14:textId="1E1888C4" w:rsidR="34489A7B" w:rsidRDefault="644A5A94" w:rsidP="47C96873">
      <w:pPr>
        <w:spacing w:after="360" w:line="276" w:lineRule="auto"/>
        <w:rPr>
          <w:rFonts w:ascii="Aptos" w:eastAsia="Aptos" w:hAnsi="Aptos" w:cs="Aptos"/>
          <w:sz w:val="22"/>
          <w:szCs w:val="22"/>
        </w:rPr>
      </w:pPr>
      <w:r w:rsidRPr="47C96873">
        <w:rPr>
          <w:rFonts w:ascii="Aptos" w:eastAsia="Aptos" w:hAnsi="Aptos" w:cs="Aptos"/>
          <w:sz w:val="22"/>
          <w:szCs w:val="22"/>
        </w:rPr>
        <w:t>Cet amendement a pour objet de supprimer l’article 35. En effet l’écriture trop vague sur la caractérisation des violences</w:t>
      </w:r>
      <w:r w:rsidR="00E023C8" w:rsidRPr="47C96873">
        <w:rPr>
          <w:rFonts w:ascii="Aptos" w:eastAsia="Aptos" w:hAnsi="Aptos" w:cs="Aptos"/>
          <w:sz w:val="22"/>
          <w:szCs w:val="22"/>
        </w:rPr>
        <w:t>, la présence ou non d’une condamnation</w:t>
      </w:r>
      <w:r w:rsidR="000F3AE1" w:rsidRPr="47C96873">
        <w:rPr>
          <w:rFonts w:ascii="Aptos" w:eastAsia="Aptos" w:hAnsi="Aptos" w:cs="Aptos"/>
          <w:sz w:val="22"/>
          <w:szCs w:val="22"/>
        </w:rPr>
        <w:t xml:space="preserve"> et</w:t>
      </w:r>
      <w:r w:rsidRPr="47C96873">
        <w:rPr>
          <w:rFonts w:ascii="Aptos" w:eastAsia="Aptos" w:hAnsi="Aptos" w:cs="Aptos"/>
          <w:sz w:val="22"/>
          <w:szCs w:val="22"/>
        </w:rPr>
        <w:t xml:space="preserve"> l’automatisation de la décision judiciaire jusqu’à </w:t>
      </w:r>
      <w:r w:rsidR="000F3AE1" w:rsidRPr="47C96873">
        <w:rPr>
          <w:rFonts w:ascii="Aptos" w:eastAsia="Aptos" w:hAnsi="Aptos" w:cs="Aptos"/>
          <w:sz w:val="22"/>
          <w:szCs w:val="22"/>
        </w:rPr>
        <w:t xml:space="preserve">la </w:t>
      </w:r>
      <w:r w:rsidRPr="47C96873">
        <w:rPr>
          <w:rFonts w:ascii="Aptos" w:eastAsia="Aptos" w:hAnsi="Aptos" w:cs="Aptos"/>
          <w:sz w:val="22"/>
          <w:szCs w:val="22"/>
        </w:rPr>
        <w:t xml:space="preserve">majorité de l’enfant </w:t>
      </w:r>
      <w:r w:rsidR="00800694" w:rsidRPr="47C96873">
        <w:rPr>
          <w:rFonts w:ascii="Aptos" w:eastAsia="Aptos" w:hAnsi="Aptos" w:cs="Aptos"/>
          <w:sz w:val="22"/>
          <w:szCs w:val="22"/>
        </w:rPr>
        <w:t xml:space="preserve">qu’il </w:t>
      </w:r>
      <w:r w:rsidRPr="47C96873">
        <w:rPr>
          <w:rFonts w:ascii="Aptos" w:eastAsia="Aptos" w:hAnsi="Aptos" w:cs="Aptos"/>
          <w:sz w:val="22"/>
          <w:szCs w:val="22"/>
        </w:rPr>
        <w:t>induit nous parait néfaste pour l’i</w:t>
      </w:r>
      <w:r w:rsidR="7557046C" w:rsidRPr="47C96873">
        <w:rPr>
          <w:rFonts w:ascii="Aptos" w:eastAsia="Aptos" w:hAnsi="Aptos" w:cs="Aptos"/>
          <w:sz w:val="22"/>
          <w:szCs w:val="22"/>
        </w:rPr>
        <w:t>ntérêt</w:t>
      </w:r>
      <w:r w:rsidRPr="47C96873">
        <w:rPr>
          <w:rFonts w:ascii="Aptos" w:eastAsia="Aptos" w:hAnsi="Aptos" w:cs="Aptos"/>
          <w:sz w:val="22"/>
          <w:szCs w:val="22"/>
        </w:rPr>
        <w:t xml:space="preserve"> supérieur de l’enfant. Par ailleurs, cette automaticité est susceptible de porter atteinte aux exigences constitutionnelles attachées à l'indépendance de l'autorité judiciaire et à l’individualisation de ses décisions.</w:t>
      </w:r>
    </w:p>
    <w:p w14:paraId="191996B1" w14:textId="35C73071" w:rsidR="34489A7B" w:rsidRDefault="644A5A94" w:rsidP="2F881595">
      <w:pPr>
        <w:spacing w:after="360" w:line="276" w:lineRule="auto"/>
        <w:rPr>
          <w:rFonts w:ascii="Aptos" w:eastAsia="Aptos" w:hAnsi="Aptos" w:cs="Aptos"/>
          <w:sz w:val="22"/>
          <w:szCs w:val="22"/>
        </w:rPr>
      </w:pPr>
      <w:r w:rsidRPr="773DFDB2">
        <w:rPr>
          <w:rFonts w:ascii="Aptos" w:eastAsia="Aptos" w:hAnsi="Aptos" w:cs="Aptos"/>
          <w:sz w:val="22"/>
          <w:szCs w:val="22"/>
        </w:rPr>
        <w:t>De même, cet article risque de mettre en grande difficulté les enfants des parents condamnés pour violence</w:t>
      </w:r>
      <w:r w:rsidR="0B994A1C" w:rsidRPr="773DFDB2">
        <w:rPr>
          <w:rFonts w:ascii="Aptos" w:eastAsia="Aptos" w:hAnsi="Aptos" w:cs="Aptos"/>
          <w:sz w:val="22"/>
          <w:szCs w:val="22"/>
        </w:rPr>
        <w:t>s</w:t>
      </w:r>
      <w:r w:rsidRPr="773DFDB2">
        <w:rPr>
          <w:rFonts w:ascii="Aptos" w:eastAsia="Aptos" w:hAnsi="Aptos" w:cs="Aptos"/>
          <w:sz w:val="22"/>
          <w:szCs w:val="22"/>
        </w:rPr>
        <w:t xml:space="preserve"> réciproque</w:t>
      </w:r>
      <w:r w:rsidR="1F9375AE" w:rsidRPr="773DFDB2">
        <w:rPr>
          <w:rFonts w:ascii="Aptos" w:eastAsia="Aptos" w:hAnsi="Aptos" w:cs="Aptos"/>
          <w:sz w:val="22"/>
          <w:szCs w:val="22"/>
        </w:rPr>
        <w:t>s</w:t>
      </w:r>
      <w:r w:rsidRPr="773DFDB2">
        <w:rPr>
          <w:rFonts w:ascii="Aptos" w:eastAsia="Aptos" w:hAnsi="Aptos" w:cs="Aptos"/>
          <w:sz w:val="22"/>
          <w:szCs w:val="22"/>
        </w:rPr>
        <w:t xml:space="preserve"> sans possibilité de retour en arrière pour fixer le lieu de résidence chez l’un ou l’autre parent.</w:t>
      </w:r>
    </w:p>
    <w:p w14:paraId="285B77C3" w14:textId="3A3B5C25" w:rsidR="34489A7B" w:rsidRDefault="067E6734" w:rsidP="2F881595">
      <w:pPr>
        <w:spacing w:after="360" w:line="276" w:lineRule="auto"/>
        <w:rPr>
          <w:rFonts w:ascii="Aptos" w:eastAsia="Aptos" w:hAnsi="Aptos" w:cs="Aptos"/>
          <w:sz w:val="22"/>
          <w:szCs w:val="22"/>
        </w:rPr>
      </w:pPr>
      <w:r w:rsidRPr="47C96873">
        <w:rPr>
          <w:rFonts w:ascii="Aptos" w:eastAsia="Aptos" w:hAnsi="Aptos" w:cs="Aptos"/>
          <w:sz w:val="22"/>
          <w:szCs w:val="22"/>
        </w:rPr>
        <w:t>Enfin, l</w:t>
      </w:r>
      <w:r w:rsidR="644A5A94" w:rsidRPr="47C96873">
        <w:rPr>
          <w:rFonts w:ascii="Aptos" w:eastAsia="Aptos" w:hAnsi="Aptos" w:cs="Aptos"/>
          <w:sz w:val="22"/>
          <w:szCs w:val="22"/>
        </w:rPr>
        <w:t xml:space="preserve">a </w:t>
      </w:r>
      <w:r w:rsidR="7E29D331" w:rsidRPr="47C96873">
        <w:rPr>
          <w:rFonts w:ascii="Aptos" w:eastAsia="Aptos" w:hAnsi="Aptos" w:cs="Aptos"/>
          <w:sz w:val="22"/>
          <w:szCs w:val="22"/>
        </w:rPr>
        <w:t>l</w:t>
      </w:r>
      <w:r w:rsidR="644A5A94" w:rsidRPr="47C96873">
        <w:rPr>
          <w:rFonts w:ascii="Aptos" w:eastAsia="Aptos" w:hAnsi="Aptos" w:cs="Aptos"/>
          <w:sz w:val="22"/>
          <w:szCs w:val="22"/>
        </w:rPr>
        <w:t xml:space="preserve">oi du 18 mars 2024 visant à mieux protéger et accompagner les enfants victimes et </w:t>
      </w:r>
      <w:proofErr w:type="spellStart"/>
      <w:r w:rsidR="644A5A94" w:rsidRPr="47C96873">
        <w:rPr>
          <w:rFonts w:ascii="Aptos" w:eastAsia="Aptos" w:hAnsi="Aptos" w:cs="Aptos"/>
          <w:sz w:val="22"/>
          <w:szCs w:val="22"/>
        </w:rPr>
        <w:t>covictimes</w:t>
      </w:r>
      <w:proofErr w:type="spellEnd"/>
      <w:r w:rsidR="644A5A94" w:rsidRPr="47C96873">
        <w:rPr>
          <w:rFonts w:ascii="Aptos" w:eastAsia="Aptos" w:hAnsi="Aptos" w:cs="Aptos"/>
          <w:sz w:val="22"/>
          <w:szCs w:val="22"/>
        </w:rPr>
        <w:t xml:space="preserve"> de violences intrafamiliales répond déjà en partie à cette problématique</w:t>
      </w:r>
      <w:r w:rsidR="0038714C" w:rsidRPr="47C96873">
        <w:rPr>
          <w:rFonts w:ascii="Aptos" w:eastAsia="Aptos" w:hAnsi="Aptos" w:cs="Aptos"/>
          <w:sz w:val="22"/>
          <w:szCs w:val="22"/>
        </w:rPr>
        <w:t>,</w:t>
      </w:r>
      <w:r w:rsidR="644A5A94" w:rsidRPr="47C96873">
        <w:rPr>
          <w:rFonts w:ascii="Aptos" w:eastAsia="Aptos" w:hAnsi="Aptos" w:cs="Aptos"/>
          <w:sz w:val="22"/>
          <w:szCs w:val="22"/>
        </w:rPr>
        <w:t xml:space="preserve"> que la création dans </w:t>
      </w:r>
      <w:r w:rsidR="09D01E66" w:rsidRPr="47C96873">
        <w:rPr>
          <w:rFonts w:ascii="Aptos" w:eastAsia="Aptos" w:hAnsi="Aptos" w:cs="Aptos"/>
          <w:sz w:val="22"/>
          <w:szCs w:val="22"/>
        </w:rPr>
        <w:t>la présente</w:t>
      </w:r>
      <w:r w:rsidR="0038714C" w:rsidRPr="47C96873">
        <w:rPr>
          <w:rFonts w:ascii="Aptos" w:eastAsia="Aptos" w:hAnsi="Aptos" w:cs="Aptos"/>
          <w:sz w:val="22"/>
          <w:szCs w:val="22"/>
        </w:rPr>
        <w:t xml:space="preserve"> proposition de</w:t>
      </w:r>
      <w:r w:rsidR="644A5A94" w:rsidRPr="47C96873">
        <w:rPr>
          <w:rFonts w:ascii="Aptos" w:eastAsia="Aptos" w:hAnsi="Aptos" w:cs="Aptos"/>
          <w:sz w:val="22"/>
          <w:szCs w:val="22"/>
        </w:rPr>
        <w:t xml:space="preserve"> loi des deux ordonnances de protection à destination des majeurs et des enfants</w:t>
      </w:r>
      <w:r w:rsidR="0038714C" w:rsidRPr="47C96873">
        <w:rPr>
          <w:rFonts w:ascii="Aptos" w:eastAsia="Aptos" w:hAnsi="Aptos" w:cs="Aptos"/>
          <w:sz w:val="22"/>
          <w:szCs w:val="22"/>
        </w:rPr>
        <w:t>,</w:t>
      </w:r>
      <w:r w:rsidR="644A5A94" w:rsidRPr="47C96873">
        <w:rPr>
          <w:rFonts w:ascii="Aptos" w:eastAsia="Aptos" w:hAnsi="Aptos" w:cs="Aptos"/>
          <w:sz w:val="22"/>
          <w:szCs w:val="22"/>
        </w:rPr>
        <w:t xml:space="preserve"> ainsi que la création d’une juridiction spécialisée permettent de compléter</w:t>
      </w:r>
      <w:r w:rsidR="6F2E879E" w:rsidRPr="47C96873">
        <w:rPr>
          <w:rFonts w:ascii="Aptos" w:eastAsia="Aptos" w:hAnsi="Aptos" w:cs="Aptos"/>
          <w:sz w:val="22"/>
          <w:szCs w:val="22"/>
        </w:rPr>
        <w:t xml:space="preserve"> </w:t>
      </w:r>
      <w:r w:rsidR="0038714C" w:rsidRPr="47C96873">
        <w:rPr>
          <w:rFonts w:ascii="Aptos" w:eastAsia="Aptos" w:hAnsi="Aptos" w:cs="Aptos"/>
          <w:sz w:val="22"/>
          <w:szCs w:val="22"/>
        </w:rPr>
        <w:t>utilement</w:t>
      </w:r>
      <w:r w:rsidR="644A5A94" w:rsidRPr="47C96873">
        <w:rPr>
          <w:rFonts w:ascii="Aptos" w:eastAsia="Aptos" w:hAnsi="Aptos" w:cs="Aptos"/>
          <w:sz w:val="22"/>
          <w:szCs w:val="22"/>
        </w:rPr>
        <w:t>.</w:t>
      </w:r>
    </w:p>
    <w:sectPr w:rsidR="34489A7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DBA16" w14:textId="77777777" w:rsidR="00861E5C" w:rsidRDefault="00861E5C">
      <w:pPr>
        <w:spacing w:after="0" w:line="240" w:lineRule="auto"/>
      </w:pPr>
      <w:r>
        <w:separator/>
      </w:r>
    </w:p>
  </w:endnote>
  <w:endnote w:type="continuationSeparator" w:id="0">
    <w:p w14:paraId="1F780D68" w14:textId="77777777" w:rsidR="00861E5C" w:rsidRDefault="00861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03E4980" w14:paraId="245F9FA0" w14:textId="77777777" w:rsidTr="773DFDB2">
      <w:trPr>
        <w:trHeight w:val="300"/>
      </w:trPr>
      <w:tc>
        <w:tcPr>
          <w:tcW w:w="3020" w:type="dxa"/>
        </w:tcPr>
        <w:p w14:paraId="6706858F" w14:textId="77777777" w:rsidR="003E4980" w:rsidRDefault="003E4980" w:rsidP="773DFDB2">
          <w:pPr>
            <w:pStyle w:val="En-tte"/>
            <w:ind w:left="-115"/>
          </w:pPr>
        </w:p>
      </w:tc>
      <w:tc>
        <w:tcPr>
          <w:tcW w:w="3020" w:type="dxa"/>
        </w:tcPr>
        <w:p w14:paraId="003EA3A8" w14:textId="77777777" w:rsidR="003E4980" w:rsidRDefault="003E4980" w:rsidP="773DFDB2">
          <w:pPr>
            <w:pStyle w:val="En-tte"/>
            <w:jc w:val="center"/>
          </w:pPr>
        </w:p>
      </w:tc>
      <w:tc>
        <w:tcPr>
          <w:tcW w:w="3020" w:type="dxa"/>
        </w:tcPr>
        <w:p w14:paraId="7E191C4D" w14:textId="77777777" w:rsidR="003E4980" w:rsidRDefault="003E4980" w:rsidP="773DFDB2">
          <w:pPr>
            <w:pStyle w:val="En-tte"/>
            <w:ind w:right="-115"/>
            <w:jc w:val="right"/>
          </w:pPr>
        </w:p>
      </w:tc>
    </w:tr>
  </w:tbl>
  <w:p w14:paraId="037B8356" w14:textId="77777777" w:rsidR="003E4980" w:rsidRDefault="003E4980" w:rsidP="773DFD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82EE2" w14:textId="77777777" w:rsidR="00861E5C" w:rsidRDefault="00861E5C">
      <w:pPr>
        <w:spacing w:after="0" w:line="240" w:lineRule="auto"/>
      </w:pPr>
      <w:r>
        <w:separator/>
      </w:r>
    </w:p>
  </w:footnote>
  <w:footnote w:type="continuationSeparator" w:id="0">
    <w:p w14:paraId="3946FD5C" w14:textId="77777777" w:rsidR="00861E5C" w:rsidRDefault="00861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03E4980" w14:paraId="64320639" w14:textId="77777777" w:rsidTr="773DFDB2">
      <w:trPr>
        <w:trHeight w:val="300"/>
      </w:trPr>
      <w:tc>
        <w:tcPr>
          <w:tcW w:w="3020" w:type="dxa"/>
        </w:tcPr>
        <w:p w14:paraId="1FF3F785" w14:textId="77777777" w:rsidR="003E4980" w:rsidRDefault="003E4980" w:rsidP="773DFDB2">
          <w:pPr>
            <w:pStyle w:val="En-tte"/>
            <w:ind w:left="-115"/>
          </w:pPr>
        </w:p>
      </w:tc>
      <w:tc>
        <w:tcPr>
          <w:tcW w:w="3020" w:type="dxa"/>
        </w:tcPr>
        <w:p w14:paraId="6D6B6315" w14:textId="77777777" w:rsidR="003E4980" w:rsidRDefault="003E4980" w:rsidP="773DFDB2">
          <w:pPr>
            <w:pStyle w:val="En-tte"/>
            <w:jc w:val="center"/>
          </w:pPr>
        </w:p>
      </w:tc>
      <w:tc>
        <w:tcPr>
          <w:tcW w:w="3020" w:type="dxa"/>
        </w:tcPr>
        <w:p w14:paraId="4BC51E8E" w14:textId="77777777" w:rsidR="003E4980" w:rsidRDefault="003E4980" w:rsidP="773DFDB2">
          <w:pPr>
            <w:pStyle w:val="En-tte"/>
            <w:ind w:right="-115"/>
            <w:jc w:val="right"/>
          </w:pPr>
        </w:p>
      </w:tc>
    </w:tr>
  </w:tbl>
  <w:p w14:paraId="6E25B456" w14:textId="77777777" w:rsidR="003E4980" w:rsidRDefault="003E4980" w:rsidP="773DFDB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6E5F6"/>
    <w:multiLevelType w:val="hybridMultilevel"/>
    <w:tmpl w:val="FFFFFFFF"/>
    <w:lvl w:ilvl="0" w:tplc="89DC5724">
      <w:start w:val="1"/>
      <w:numFmt w:val="upperRoman"/>
      <w:lvlText w:val="II-"/>
      <w:lvlJc w:val="right"/>
      <w:pPr>
        <w:ind w:left="720" w:hanging="360"/>
      </w:pPr>
    </w:lvl>
    <w:lvl w:ilvl="1" w:tplc="60261798">
      <w:start w:val="1"/>
      <w:numFmt w:val="lowerLetter"/>
      <w:lvlText w:val="%2."/>
      <w:lvlJc w:val="left"/>
      <w:pPr>
        <w:ind w:left="1440" w:hanging="360"/>
      </w:pPr>
    </w:lvl>
    <w:lvl w:ilvl="2" w:tplc="76E21A54">
      <w:start w:val="1"/>
      <w:numFmt w:val="lowerRoman"/>
      <w:lvlText w:val="%3."/>
      <w:lvlJc w:val="right"/>
      <w:pPr>
        <w:ind w:left="2160" w:hanging="180"/>
      </w:pPr>
    </w:lvl>
    <w:lvl w:ilvl="3" w:tplc="8AAEA03A">
      <w:start w:val="1"/>
      <w:numFmt w:val="decimal"/>
      <w:lvlText w:val="%4."/>
      <w:lvlJc w:val="left"/>
      <w:pPr>
        <w:ind w:left="2880" w:hanging="360"/>
      </w:pPr>
    </w:lvl>
    <w:lvl w:ilvl="4" w:tplc="679C2A36">
      <w:start w:val="1"/>
      <w:numFmt w:val="lowerLetter"/>
      <w:lvlText w:val="%5."/>
      <w:lvlJc w:val="left"/>
      <w:pPr>
        <w:ind w:left="3600" w:hanging="360"/>
      </w:pPr>
    </w:lvl>
    <w:lvl w:ilvl="5" w:tplc="D4240496">
      <w:start w:val="1"/>
      <w:numFmt w:val="lowerRoman"/>
      <w:lvlText w:val="%6."/>
      <w:lvlJc w:val="right"/>
      <w:pPr>
        <w:ind w:left="4320" w:hanging="180"/>
      </w:pPr>
    </w:lvl>
    <w:lvl w:ilvl="6" w:tplc="5980F366">
      <w:start w:val="1"/>
      <w:numFmt w:val="decimal"/>
      <w:lvlText w:val="%7."/>
      <w:lvlJc w:val="left"/>
      <w:pPr>
        <w:ind w:left="5040" w:hanging="360"/>
      </w:pPr>
    </w:lvl>
    <w:lvl w:ilvl="7" w:tplc="25D85CC8">
      <w:start w:val="1"/>
      <w:numFmt w:val="lowerLetter"/>
      <w:lvlText w:val="%8."/>
      <w:lvlJc w:val="left"/>
      <w:pPr>
        <w:ind w:left="5760" w:hanging="360"/>
      </w:pPr>
    </w:lvl>
    <w:lvl w:ilvl="8" w:tplc="BA42EEB2">
      <w:start w:val="1"/>
      <w:numFmt w:val="lowerRoman"/>
      <w:lvlText w:val="%9."/>
      <w:lvlJc w:val="right"/>
      <w:pPr>
        <w:ind w:left="6480" w:hanging="180"/>
      </w:pPr>
    </w:lvl>
  </w:abstractNum>
  <w:abstractNum w:abstractNumId="1" w15:restartNumberingAfterBreak="0">
    <w:nsid w:val="426321DD"/>
    <w:multiLevelType w:val="hybridMultilevel"/>
    <w:tmpl w:val="F880D896"/>
    <w:lvl w:ilvl="0" w:tplc="B5FAD2B4">
      <w:start w:val="1"/>
      <w:numFmt w:val="lowerLetter"/>
      <w:lvlText w:val="%1)"/>
      <w:lvlJc w:val="left"/>
      <w:pPr>
        <w:ind w:left="720" w:hanging="360"/>
      </w:pPr>
    </w:lvl>
    <w:lvl w:ilvl="1" w:tplc="DA0CC278">
      <w:start w:val="1"/>
      <w:numFmt w:val="lowerLetter"/>
      <w:lvlText w:val="%2."/>
      <w:lvlJc w:val="left"/>
      <w:pPr>
        <w:ind w:left="1440" w:hanging="360"/>
      </w:pPr>
    </w:lvl>
    <w:lvl w:ilvl="2" w:tplc="09125B58">
      <w:start w:val="1"/>
      <w:numFmt w:val="lowerRoman"/>
      <w:lvlText w:val="%3."/>
      <w:lvlJc w:val="right"/>
      <w:pPr>
        <w:ind w:left="2160" w:hanging="180"/>
      </w:pPr>
    </w:lvl>
    <w:lvl w:ilvl="3" w:tplc="9A8ED518">
      <w:start w:val="1"/>
      <w:numFmt w:val="decimal"/>
      <w:lvlText w:val="%4."/>
      <w:lvlJc w:val="left"/>
      <w:pPr>
        <w:ind w:left="2880" w:hanging="360"/>
      </w:pPr>
    </w:lvl>
    <w:lvl w:ilvl="4" w:tplc="B6882B82">
      <w:start w:val="1"/>
      <w:numFmt w:val="lowerLetter"/>
      <w:lvlText w:val="%5."/>
      <w:lvlJc w:val="left"/>
      <w:pPr>
        <w:ind w:left="3600" w:hanging="360"/>
      </w:pPr>
    </w:lvl>
    <w:lvl w:ilvl="5" w:tplc="A65483B6">
      <w:start w:val="1"/>
      <w:numFmt w:val="lowerRoman"/>
      <w:lvlText w:val="%6."/>
      <w:lvlJc w:val="right"/>
      <w:pPr>
        <w:ind w:left="4320" w:hanging="180"/>
      </w:pPr>
    </w:lvl>
    <w:lvl w:ilvl="6" w:tplc="4C282666">
      <w:start w:val="1"/>
      <w:numFmt w:val="decimal"/>
      <w:lvlText w:val="%7."/>
      <w:lvlJc w:val="left"/>
      <w:pPr>
        <w:ind w:left="5040" w:hanging="360"/>
      </w:pPr>
    </w:lvl>
    <w:lvl w:ilvl="7" w:tplc="7D745B5C">
      <w:start w:val="1"/>
      <w:numFmt w:val="lowerLetter"/>
      <w:lvlText w:val="%8."/>
      <w:lvlJc w:val="left"/>
      <w:pPr>
        <w:ind w:left="5760" w:hanging="360"/>
      </w:pPr>
    </w:lvl>
    <w:lvl w:ilvl="8" w:tplc="6D14F516">
      <w:start w:val="1"/>
      <w:numFmt w:val="lowerRoman"/>
      <w:lvlText w:val="%9."/>
      <w:lvlJc w:val="right"/>
      <w:pPr>
        <w:ind w:left="6480" w:hanging="180"/>
      </w:pPr>
    </w:lvl>
  </w:abstractNum>
  <w:abstractNum w:abstractNumId="2" w15:restartNumberingAfterBreak="0">
    <w:nsid w:val="50EFC72E"/>
    <w:multiLevelType w:val="hybridMultilevel"/>
    <w:tmpl w:val="43A43888"/>
    <w:lvl w:ilvl="0" w:tplc="03EA7648">
      <w:start w:val="1"/>
      <w:numFmt w:val="upperRoman"/>
      <w:lvlText w:val="%1-"/>
      <w:lvlJc w:val="left"/>
      <w:pPr>
        <w:ind w:left="720" w:hanging="360"/>
      </w:pPr>
    </w:lvl>
    <w:lvl w:ilvl="1" w:tplc="06183EF6">
      <w:start w:val="1"/>
      <w:numFmt w:val="lowerLetter"/>
      <w:lvlText w:val="%2."/>
      <w:lvlJc w:val="left"/>
      <w:pPr>
        <w:ind w:left="1440" w:hanging="360"/>
      </w:pPr>
    </w:lvl>
    <w:lvl w:ilvl="2" w:tplc="DBCCD184">
      <w:start w:val="1"/>
      <w:numFmt w:val="lowerRoman"/>
      <w:lvlText w:val="%3."/>
      <w:lvlJc w:val="right"/>
      <w:pPr>
        <w:ind w:left="2160" w:hanging="180"/>
      </w:pPr>
    </w:lvl>
    <w:lvl w:ilvl="3" w:tplc="67CEA468">
      <w:start w:val="1"/>
      <w:numFmt w:val="decimal"/>
      <w:lvlText w:val="%4."/>
      <w:lvlJc w:val="left"/>
      <w:pPr>
        <w:ind w:left="2880" w:hanging="360"/>
      </w:pPr>
    </w:lvl>
    <w:lvl w:ilvl="4" w:tplc="B434CFFE">
      <w:start w:val="1"/>
      <w:numFmt w:val="lowerLetter"/>
      <w:lvlText w:val="%5."/>
      <w:lvlJc w:val="left"/>
      <w:pPr>
        <w:ind w:left="3600" w:hanging="360"/>
      </w:pPr>
    </w:lvl>
    <w:lvl w:ilvl="5" w:tplc="DC346294">
      <w:start w:val="1"/>
      <w:numFmt w:val="lowerRoman"/>
      <w:lvlText w:val="%6."/>
      <w:lvlJc w:val="right"/>
      <w:pPr>
        <w:ind w:left="4320" w:hanging="180"/>
      </w:pPr>
    </w:lvl>
    <w:lvl w:ilvl="6" w:tplc="2DF6A23E">
      <w:start w:val="1"/>
      <w:numFmt w:val="decimal"/>
      <w:lvlText w:val="%7."/>
      <w:lvlJc w:val="left"/>
      <w:pPr>
        <w:ind w:left="5040" w:hanging="360"/>
      </w:pPr>
    </w:lvl>
    <w:lvl w:ilvl="7" w:tplc="B4D60694">
      <w:start w:val="1"/>
      <w:numFmt w:val="lowerLetter"/>
      <w:lvlText w:val="%8."/>
      <w:lvlJc w:val="left"/>
      <w:pPr>
        <w:ind w:left="5760" w:hanging="360"/>
      </w:pPr>
    </w:lvl>
    <w:lvl w:ilvl="8" w:tplc="A5564ACE">
      <w:start w:val="1"/>
      <w:numFmt w:val="lowerRoman"/>
      <w:lvlText w:val="%9."/>
      <w:lvlJc w:val="right"/>
      <w:pPr>
        <w:ind w:left="6480" w:hanging="180"/>
      </w:pPr>
    </w:lvl>
  </w:abstractNum>
  <w:abstractNum w:abstractNumId="3" w15:restartNumberingAfterBreak="0">
    <w:nsid w:val="65DF8D93"/>
    <w:multiLevelType w:val="hybridMultilevel"/>
    <w:tmpl w:val="FFFFFFFF"/>
    <w:lvl w:ilvl="0" w:tplc="19B0D8FE">
      <w:start w:val="1"/>
      <w:numFmt w:val="upperRoman"/>
      <w:lvlText w:val="%1-"/>
      <w:lvlJc w:val="left"/>
      <w:pPr>
        <w:ind w:left="720" w:hanging="360"/>
      </w:pPr>
    </w:lvl>
    <w:lvl w:ilvl="1" w:tplc="050277D6">
      <w:start w:val="1"/>
      <w:numFmt w:val="lowerLetter"/>
      <w:lvlText w:val="%2."/>
      <w:lvlJc w:val="left"/>
      <w:pPr>
        <w:ind w:left="1440" w:hanging="360"/>
      </w:pPr>
    </w:lvl>
    <w:lvl w:ilvl="2" w:tplc="F2648ED0">
      <w:start w:val="1"/>
      <w:numFmt w:val="lowerRoman"/>
      <w:lvlText w:val="%3."/>
      <w:lvlJc w:val="right"/>
      <w:pPr>
        <w:ind w:left="2160" w:hanging="180"/>
      </w:pPr>
    </w:lvl>
    <w:lvl w:ilvl="3" w:tplc="6A3CE4EC">
      <w:start w:val="1"/>
      <w:numFmt w:val="decimal"/>
      <w:lvlText w:val="%4."/>
      <w:lvlJc w:val="left"/>
      <w:pPr>
        <w:ind w:left="2880" w:hanging="360"/>
      </w:pPr>
    </w:lvl>
    <w:lvl w:ilvl="4" w:tplc="F4806CEC">
      <w:start w:val="1"/>
      <w:numFmt w:val="lowerLetter"/>
      <w:lvlText w:val="%5."/>
      <w:lvlJc w:val="left"/>
      <w:pPr>
        <w:ind w:left="3600" w:hanging="360"/>
      </w:pPr>
    </w:lvl>
    <w:lvl w:ilvl="5" w:tplc="FAD8D12E">
      <w:start w:val="1"/>
      <w:numFmt w:val="lowerRoman"/>
      <w:lvlText w:val="%6."/>
      <w:lvlJc w:val="right"/>
      <w:pPr>
        <w:ind w:left="4320" w:hanging="180"/>
      </w:pPr>
    </w:lvl>
    <w:lvl w:ilvl="6" w:tplc="702CB468">
      <w:start w:val="1"/>
      <w:numFmt w:val="decimal"/>
      <w:lvlText w:val="%7."/>
      <w:lvlJc w:val="left"/>
      <w:pPr>
        <w:ind w:left="5040" w:hanging="360"/>
      </w:pPr>
    </w:lvl>
    <w:lvl w:ilvl="7" w:tplc="801408DC">
      <w:start w:val="1"/>
      <w:numFmt w:val="lowerLetter"/>
      <w:lvlText w:val="%8."/>
      <w:lvlJc w:val="left"/>
      <w:pPr>
        <w:ind w:left="5760" w:hanging="360"/>
      </w:pPr>
    </w:lvl>
    <w:lvl w:ilvl="8" w:tplc="4754CAC2">
      <w:start w:val="1"/>
      <w:numFmt w:val="lowerRoman"/>
      <w:lvlText w:val="%9."/>
      <w:lvlJc w:val="right"/>
      <w:pPr>
        <w:ind w:left="6480" w:hanging="180"/>
      </w:pPr>
    </w:lvl>
  </w:abstractNum>
  <w:num w:numId="1" w16cid:durableId="112525910">
    <w:abstractNumId w:val="2"/>
  </w:num>
  <w:num w:numId="2" w16cid:durableId="1380477179">
    <w:abstractNumId w:val="3"/>
  </w:num>
  <w:num w:numId="3" w16cid:durableId="1395198919">
    <w:abstractNumId w:val="0"/>
  </w:num>
  <w:num w:numId="4" w16cid:durableId="1962691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46"/>
    <w:rsid w:val="00012F49"/>
    <w:rsid w:val="00024866"/>
    <w:rsid w:val="00046013"/>
    <w:rsid w:val="000502A5"/>
    <w:rsid w:val="00056741"/>
    <w:rsid w:val="0009381D"/>
    <w:rsid w:val="0009698E"/>
    <w:rsid w:val="000B270D"/>
    <w:rsid w:val="000F3AE1"/>
    <w:rsid w:val="00121246"/>
    <w:rsid w:val="0015564B"/>
    <w:rsid w:val="00187708"/>
    <w:rsid w:val="001A741B"/>
    <w:rsid w:val="001E5B08"/>
    <w:rsid w:val="00244F5E"/>
    <w:rsid w:val="00267E9E"/>
    <w:rsid w:val="0029778B"/>
    <w:rsid w:val="002C0583"/>
    <w:rsid w:val="002D0213"/>
    <w:rsid w:val="002D057C"/>
    <w:rsid w:val="002D38C0"/>
    <w:rsid w:val="002E0EFC"/>
    <w:rsid w:val="002E243D"/>
    <w:rsid w:val="002E451A"/>
    <w:rsid w:val="00304E19"/>
    <w:rsid w:val="00316617"/>
    <w:rsid w:val="00323ACA"/>
    <w:rsid w:val="00350467"/>
    <w:rsid w:val="00362C32"/>
    <w:rsid w:val="00363F12"/>
    <w:rsid w:val="0038714C"/>
    <w:rsid w:val="003E4980"/>
    <w:rsid w:val="00403ABF"/>
    <w:rsid w:val="0047674E"/>
    <w:rsid w:val="004F1E98"/>
    <w:rsid w:val="005035F8"/>
    <w:rsid w:val="00535815"/>
    <w:rsid w:val="005375C3"/>
    <w:rsid w:val="005378C1"/>
    <w:rsid w:val="0057693E"/>
    <w:rsid w:val="00587075"/>
    <w:rsid w:val="005B777A"/>
    <w:rsid w:val="005D3311"/>
    <w:rsid w:val="005D3664"/>
    <w:rsid w:val="005D6255"/>
    <w:rsid w:val="005D62C0"/>
    <w:rsid w:val="005F711F"/>
    <w:rsid w:val="005F7D3C"/>
    <w:rsid w:val="00627645"/>
    <w:rsid w:val="00632790"/>
    <w:rsid w:val="006349BB"/>
    <w:rsid w:val="006449F1"/>
    <w:rsid w:val="00670EFE"/>
    <w:rsid w:val="00694466"/>
    <w:rsid w:val="006B2C7E"/>
    <w:rsid w:val="006F2ECA"/>
    <w:rsid w:val="007150D6"/>
    <w:rsid w:val="007634CC"/>
    <w:rsid w:val="007749C8"/>
    <w:rsid w:val="00783C51"/>
    <w:rsid w:val="007A39F3"/>
    <w:rsid w:val="007A6695"/>
    <w:rsid w:val="007B5165"/>
    <w:rsid w:val="007C3520"/>
    <w:rsid w:val="007F2A45"/>
    <w:rsid w:val="00800694"/>
    <w:rsid w:val="00806788"/>
    <w:rsid w:val="008269C9"/>
    <w:rsid w:val="008338F1"/>
    <w:rsid w:val="00861E5C"/>
    <w:rsid w:val="00864B1A"/>
    <w:rsid w:val="008E1811"/>
    <w:rsid w:val="00942A24"/>
    <w:rsid w:val="00953462"/>
    <w:rsid w:val="00962302"/>
    <w:rsid w:val="009865AE"/>
    <w:rsid w:val="009F252C"/>
    <w:rsid w:val="00A2682C"/>
    <w:rsid w:val="00A55D30"/>
    <w:rsid w:val="00A567AE"/>
    <w:rsid w:val="00A80834"/>
    <w:rsid w:val="00AE6838"/>
    <w:rsid w:val="00B22D15"/>
    <w:rsid w:val="00B34A45"/>
    <w:rsid w:val="00B9AE78"/>
    <w:rsid w:val="00BC5586"/>
    <w:rsid w:val="00BE385D"/>
    <w:rsid w:val="00C13073"/>
    <w:rsid w:val="00C27FE5"/>
    <w:rsid w:val="00C354C9"/>
    <w:rsid w:val="00C3C062"/>
    <w:rsid w:val="00C4126D"/>
    <w:rsid w:val="00CD4FE6"/>
    <w:rsid w:val="00CE718D"/>
    <w:rsid w:val="00D14BD9"/>
    <w:rsid w:val="00D514DF"/>
    <w:rsid w:val="00D6367A"/>
    <w:rsid w:val="00DB2C10"/>
    <w:rsid w:val="00DB77A4"/>
    <w:rsid w:val="00DC3963"/>
    <w:rsid w:val="00DD1E7E"/>
    <w:rsid w:val="00DE19FD"/>
    <w:rsid w:val="00DE6231"/>
    <w:rsid w:val="00DF54FF"/>
    <w:rsid w:val="00E023C8"/>
    <w:rsid w:val="00E62C58"/>
    <w:rsid w:val="00E96298"/>
    <w:rsid w:val="00EA5A3D"/>
    <w:rsid w:val="00EF4204"/>
    <w:rsid w:val="00F93D8E"/>
    <w:rsid w:val="00FD13FF"/>
    <w:rsid w:val="00FF4DEF"/>
    <w:rsid w:val="0134B66C"/>
    <w:rsid w:val="01463BFE"/>
    <w:rsid w:val="017C4549"/>
    <w:rsid w:val="01AA38BF"/>
    <w:rsid w:val="01C3F14A"/>
    <w:rsid w:val="01CBF598"/>
    <w:rsid w:val="01EEBFBB"/>
    <w:rsid w:val="0213EBBE"/>
    <w:rsid w:val="025D6BAE"/>
    <w:rsid w:val="02849AF0"/>
    <w:rsid w:val="02AA4D8C"/>
    <w:rsid w:val="02DF96DB"/>
    <w:rsid w:val="02E98FE8"/>
    <w:rsid w:val="02FE26BF"/>
    <w:rsid w:val="032E8766"/>
    <w:rsid w:val="0353A775"/>
    <w:rsid w:val="0380A454"/>
    <w:rsid w:val="03AF682A"/>
    <w:rsid w:val="0417F4F3"/>
    <w:rsid w:val="045884B0"/>
    <w:rsid w:val="046EF45A"/>
    <w:rsid w:val="0471B64E"/>
    <w:rsid w:val="0483C5A1"/>
    <w:rsid w:val="049B3DFD"/>
    <w:rsid w:val="04F18532"/>
    <w:rsid w:val="04FC10B7"/>
    <w:rsid w:val="0524F4A0"/>
    <w:rsid w:val="0558E1CD"/>
    <w:rsid w:val="05B45819"/>
    <w:rsid w:val="05DE295A"/>
    <w:rsid w:val="0632D12B"/>
    <w:rsid w:val="0649F9D6"/>
    <w:rsid w:val="06680A90"/>
    <w:rsid w:val="0674997E"/>
    <w:rsid w:val="067E6734"/>
    <w:rsid w:val="06DE3EDF"/>
    <w:rsid w:val="0727E701"/>
    <w:rsid w:val="074661AA"/>
    <w:rsid w:val="07546944"/>
    <w:rsid w:val="0768EC1E"/>
    <w:rsid w:val="076D4EE5"/>
    <w:rsid w:val="0790181A"/>
    <w:rsid w:val="079C9345"/>
    <w:rsid w:val="07B5F51E"/>
    <w:rsid w:val="07C01606"/>
    <w:rsid w:val="07D53987"/>
    <w:rsid w:val="083AF82F"/>
    <w:rsid w:val="086BAE7D"/>
    <w:rsid w:val="08CAABE9"/>
    <w:rsid w:val="08CC6803"/>
    <w:rsid w:val="08D1D642"/>
    <w:rsid w:val="08DC9D2A"/>
    <w:rsid w:val="08E56520"/>
    <w:rsid w:val="091BF923"/>
    <w:rsid w:val="094BD974"/>
    <w:rsid w:val="0973962C"/>
    <w:rsid w:val="09B9B6CD"/>
    <w:rsid w:val="09C0D2C1"/>
    <w:rsid w:val="09C0F8B3"/>
    <w:rsid w:val="09D01E66"/>
    <w:rsid w:val="0A195E4F"/>
    <w:rsid w:val="0A1EC991"/>
    <w:rsid w:val="0A3A117F"/>
    <w:rsid w:val="0A7380FB"/>
    <w:rsid w:val="0A843570"/>
    <w:rsid w:val="0ABE2E74"/>
    <w:rsid w:val="0AC1C019"/>
    <w:rsid w:val="0AE549C9"/>
    <w:rsid w:val="0B15D9BE"/>
    <w:rsid w:val="0B552705"/>
    <w:rsid w:val="0B8005B8"/>
    <w:rsid w:val="0B994A1C"/>
    <w:rsid w:val="0BC789A1"/>
    <w:rsid w:val="0C105AC6"/>
    <w:rsid w:val="0C266863"/>
    <w:rsid w:val="0C57950E"/>
    <w:rsid w:val="0C827660"/>
    <w:rsid w:val="0C8EC240"/>
    <w:rsid w:val="0CFF4E90"/>
    <w:rsid w:val="0D318EB0"/>
    <w:rsid w:val="0D4B527F"/>
    <w:rsid w:val="0D6122A1"/>
    <w:rsid w:val="0DA64504"/>
    <w:rsid w:val="0DC73BDF"/>
    <w:rsid w:val="0DE23158"/>
    <w:rsid w:val="0DE45266"/>
    <w:rsid w:val="0E1C6332"/>
    <w:rsid w:val="0E1C9831"/>
    <w:rsid w:val="0E208E40"/>
    <w:rsid w:val="0E38A10B"/>
    <w:rsid w:val="0E3C5B71"/>
    <w:rsid w:val="0EA7BF90"/>
    <w:rsid w:val="0F1B5993"/>
    <w:rsid w:val="0F396A49"/>
    <w:rsid w:val="0F50146D"/>
    <w:rsid w:val="0F6785AD"/>
    <w:rsid w:val="0F83FF65"/>
    <w:rsid w:val="0FA4E6C7"/>
    <w:rsid w:val="0FF77291"/>
    <w:rsid w:val="102C0EA9"/>
    <w:rsid w:val="104D5685"/>
    <w:rsid w:val="110EC23B"/>
    <w:rsid w:val="11161F49"/>
    <w:rsid w:val="116E97B2"/>
    <w:rsid w:val="118E0FE6"/>
    <w:rsid w:val="11997FB0"/>
    <w:rsid w:val="11FC65C1"/>
    <w:rsid w:val="120DE942"/>
    <w:rsid w:val="121837F6"/>
    <w:rsid w:val="12339E14"/>
    <w:rsid w:val="1270ADE7"/>
    <w:rsid w:val="127EA693"/>
    <w:rsid w:val="128C4A89"/>
    <w:rsid w:val="12C4FA66"/>
    <w:rsid w:val="12DDD984"/>
    <w:rsid w:val="12E289E1"/>
    <w:rsid w:val="13309077"/>
    <w:rsid w:val="13A67867"/>
    <w:rsid w:val="13AA21B6"/>
    <w:rsid w:val="13D9E2ED"/>
    <w:rsid w:val="141BC44A"/>
    <w:rsid w:val="14716EB1"/>
    <w:rsid w:val="14AA0C2A"/>
    <w:rsid w:val="14D83AEF"/>
    <w:rsid w:val="15237FD9"/>
    <w:rsid w:val="153D4752"/>
    <w:rsid w:val="1597020C"/>
    <w:rsid w:val="15C2E543"/>
    <w:rsid w:val="15CACFDF"/>
    <w:rsid w:val="15D3D1DB"/>
    <w:rsid w:val="16ACC4E2"/>
    <w:rsid w:val="16D66D5C"/>
    <w:rsid w:val="16EA83B0"/>
    <w:rsid w:val="170A0570"/>
    <w:rsid w:val="171177EF"/>
    <w:rsid w:val="17411C38"/>
    <w:rsid w:val="17424A15"/>
    <w:rsid w:val="17502607"/>
    <w:rsid w:val="178508DF"/>
    <w:rsid w:val="17BE53FC"/>
    <w:rsid w:val="17E628BF"/>
    <w:rsid w:val="180388B7"/>
    <w:rsid w:val="18095FC3"/>
    <w:rsid w:val="18188BE5"/>
    <w:rsid w:val="18913832"/>
    <w:rsid w:val="18C6970B"/>
    <w:rsid w:val="18DFB5AA"/>
    <w:rsid w:val="19007142"/>
    <w:rsid w:val="199223AC"/>
    <w:rsid w:val="19DD588D"/>
    <w:rsid w:val="1A212233"/>
    <w:rsid w:val="1A7098DB"/>
    <w:rsid w:val="1A744BEA"/>
    <w:rsid w:val="1A770C52"/>
    <w:rsid w:val="1AD2C193"/>
    <w:rsid w:val="1AEC533A"/>
    <w:rsid w:val="1AFB5A71"/>
    <w:rsid w:val="1B56DA48"/>
    <w:rsid w:val="1B68D5A2"/>
    <w:rsid w:val="1B93C667"/>
    <w:rsid w:val="1BCC4A2F"/>
    <w:rsid w:val="1BFF16DA"/>
    <w:rsid w:val="1C13D170"/>
    <w:rsid w:val="1C3CE981"/>
    <w:rsid w:val="1C92CF3B"/>
    <w:rsid w:val="1CB10A02"/>
    <w:rsid w:val="1CBF8125"/>
    <w:rsid w:val="1CF4FFE7"/>
    <w:rsid w:val="1CFCD298"/>
    <w:rsid w:val="1D14A054"/>
    <w:rsid w:val="1D3EA4AC"/>
    <w:rsid w:val="1D44F798"/>
    <w:rsid w:val="1D5B961C"/>
    <w:rsid w:val="1D695899"/>
    <w:rsid w:val="1DADA369"/>
    <w:rsid w:val="1DE18F7A"/>
    <w:rsid w:val="1DE9B3A0"/>
    <w:rsid w:val="1E0EF435"/>
    <w:rsid w:val="1E9F4015"/>
    <w:rsid w:val="1ECA4EF3"/>
    <w:rsid w:val="1EEC5C16"/>
    <w:rsid w:val="1F1267E8"/>
    <w:rsid w:val="1F28216B"/>
    <w:rsid w:val="1F5252DC"/>
    <w:rsid w:val="1F5A4286"/>
    <w:rsid w:val="1F66836F"/>
    <w:rsid w:val="1F7FFDDE"/>
    <w:rsid w:val="1F9375AE"/>
    <w:rsid w:val="1FB79C73"/>
    <w:rsid w:val="1FE5041E"/>
    <w:rsid w:val="1FF239E7"/>
    <w:rsid w:val="200405C1"/>
    <w:rsid w:val="207347F7"/>
    <w:rsid w:val="2089F460"/>
    <w:rsid w:val="20A2F958"/>
    <w:rsid w:val="20AD9E1B"/>
    <w:rsid w:val="20EB84D8"/>
    <w:rsid w:val="20FC5EA3"/>
    <w:rsid w:val="21164BAF"/>
    <w:rsid w:val="211A4DD9"/>
    <w:rsid w:val="214E7A48"/>
    <w:rsid w:val="214FD060"/>
    <w:rsid w:val="216D8764"/>
    <w:rsid w:val="217DECD3"/>
    <w:rsid w:val="21E626A6"/>
    <w:rsid w:val="21FEBAC1"/>
    <w:rsid w:val="220635A6"/>
    <w:rsid w:val="2226A910"/>
    <w:rsid w:val="2241B649"/>
    <w:rsid w:val="22570326"/>
    <w:rsid w:val="229CF52C"/>
    <w:rsid w:val="2306DEF8"/>
    <w:rsid w:val="232B5E04"/>
    <w:rsid w:val="2331875C"/>
    <w:rsid w:val="235B0A9F"/>
    <w:rsid w:val="23FF7765"/>
    <w:rsid w:val="248C2C32"/>
    <w:rsid w:val="24ABCF79"/>
    <w:rsid w:val="24BE5FD8"/>
    <w:rsid w:val="24D0ADFA"/>
    <w:rsid w:val="24F1A090"/>
    <w:rsid w:val="256EFBCF"/>
    <w:rsid w:val="257E1A4F"/>
    <w:rsid w:val="2589011C"/>
    <w:rsid w:val="261EACEA"/>
    <w:rsid w:val="2630FF0B"/>
    <w:rsid w:val="269FBCC7"/>
    <w:rsid w:val="26A030C1"/>
    <w:rsid w:val="2700EB57"/>
    <w:rsid w:val="274D1AEE"/>
    <w:rsid w:val="278EB638"/>
    <w:rsid w:val="282D05E1"/>
    <w:rsid w:val="2838132E"/>
    <w:rsid w:val="2864CD36"/>
    <w:rsid w:val="288771E0"/>
    <w:rsid w:val="28D63322"/>
    <w:rsid w:val="2902F1BB"/>
    <w:rsid w:val="2906ECC4"/>
    <w:rsid w:val="29421FF8"/>
    <w:rsid w:val="2975988C"/>
    <w:rsid w:val="2981C8BE"/>
    <w:rsid w:val="29AD3F9C"/>
    <w:rsid w:val="29DA206C"/>
    <w:rsid w:val="2A4400A0"/>
    <w:rsid w:val="2A5168F9"/>
    <w:rsid w:val="2A752AA9"/>
    <w:rsid w:val="2AC4FE94"/>
    <w:rsid w:val="2ACA7530"/>
    <w:rsid w:val="2ADB7412"/>
    <w:rsid w:val="2AE49BFA"/>
    <w:rsid w:val="2AE81502"/>
    <w:rsid w:val="2B0D0C8A"/>
    <w:rsid w:val="2B59041B"/>
    <w:rsid w:val="2B7B85EF"/>
    <w:rsid w:val="2B89A8CA"/>
    <w:rsid w:val="2BB251E2"/>
    <w:rsid w:val="2BD1ABD6"/>
    <w:rsid w:val="2BDFC79E"/>
    <w:rsid w:val="2C25940D"/>
    <w:rsid w:val="2C4DB5ED"/>
    <w:rsid w:val="2C542146"/>
    <w:rsid w:val="2C5C2073"/>
    <w:rsid w:val="2C755B9E"/>
    <w:rsid w:val="2C7A320C"/>
    <w:rsid w:val="2C861777"/>
    <w:rsid w:val="2CDC0897"/>
    <w:rsid w:val="2CEE8BB0"/>
    <w:rsid w:val="2D9B106B"/>
    <w:rsid w:val="2DCE3A1D"/>
    <w:rsid w:val="2DDE7D0D"/>
    <w:rsid w:val="2E07D5E7"/>
    <w:rsid w:val="2E4B7D61"/>
    <w:rsid w:val="2E4C5EF5"/>
    <w:rsid w:val="2E9ECDAA"/>
    <w:rsid w:val="2F010928"/>
    <w:rsid w:val="2F6295BD"/>
    <w:rsid w:val="2F765823"/>
    <w:rsid w:val="2F7A0929"/>
    <w:rsid w:val="2F7E01C5"/>
    <w:rsid w:val="2F881595"/>
    <w:rsid w:val="2FD8343D"/>
    <w:rsid w:val="2FEB2418"/>
    <w:rsid w:val="2FEC35F5"/>
    <w:rsid w:val="3001DC13"/>
    <w:rsid w:val="30830089"/>
    <w:rsid w:val="30AA5716"/>
    <w:rsid w:val="310108A1"/>
    <w:rsid w:val="313B4198"/>
    <w:rsid w:val="314B1681"/>
    <w:rsid w:val="31944B98"/>
    <w:rsid w:val="31A4AD71"/>
    <w:rsid w:val="31BE4D17"/>
    <w:rsid w:val="31D5F959"/>
    <w:rsid w:val="32197F65"/>
    <w:rsid w:val="322F362B"/>
    <w:rsid w:val="326F7CD3"/>
    <w:rsid w:val="3278871F"/>
    <w:rsid w:val="32B2971F"/>
    <w:rsid w:val="32BCF519"/>
    <w:rsid w:val="32D26063"/>
    <w:rsid w:val="3303C063"/>
    <w:rsid w:val="330B285C"/>
    <w:rsid w:val="33733237"/>
    <w:rsid w:val="33B7C59B"/>
    <w:rsid w:val="33FF77FF"/>
    <w:rsid w:val="34029791"/>
    <w:rsid w:val="34193205"/>
    <w:rsid w:val="34489A7B"/>
    <w:rsid w:val="3453FE5B"/>
    <w:rsid w:val="345BD79F"/>
    <w:rsid w:val="347DC73C"/>
    <w:rsid w:val="34B2576F"/>
    <w:rsid w:val="3594D459"/>
    <w:rsid w:val="362441D1"/>
    <w:rsid w:val="3647129C"/>
    <w:rsid w:val="364CFF22"/>
    <w:rsid w:val="36958350"/>
    <w:rsid w:val="36C74722"/>
    <w:rsid w:val="36DE0708"/>
    <w:rsid w:val="373926D1"/>
    <w:rsid w:val="3756B64B"/>
    <w:rsid w:val="378ED9FE"/>
    <w:rsid w:val="379997FC"/>
    <w:rsid w:val="37D4BDBF"/>
    <w:rsid w:val="3812C377"/>
    <w:rsid w:val="3833396C"/>
    <w:rsid w:val="3858979F"/>
    <w:rsid w:val="38EDD618"/>
    <w:rsid w:val="392AA413"/>
    <w:rsid w:val="39EED5FA"/>
    <w:rsid w:val="39EFD48F"/>
    <w:rsid w:val="3A0C60D3"/>
    <w:rsid w:val="3AA28109"/>
    <w:rsid w:val="3AFEBE4A"/>
    <w:rsid w:val="3B1506B1"/>
    <w:rsid w:val="3B50B474"/>
    <w:rsid w:val="3B5C4A16"/>
    <w:rsid w:val="3BBB367E"/>
    <w:rsid w:val="3BD47069"/>
    <w:rsid w:val="3C337DDB"/>
    <w:rsid w:val="3C707CAC"/>
    <w:rsid w:val="3C7CACB5"/>
    <w:rsid w:val="3C7E4006"/>
    <w:rsid w:val="3C9F8511"/>
    <w:rsid w:val="3D2CC251"/>
    <w:rsid w:val="3D7802F7"/>
    <w:rsid w:val="3DC12EDE"/>
    <w:rsid w:val="3DF8801E"/>
    <w:rsid w:val="3E58D453"/>
    <w:rsid w:val="3ED116CE"/>
    <w:rsid w:val="3EF79A03"/>
    <w:rsid w:val="3F187DC3"/>
    <w:rsid w:val="3F31FF7A"/>
    <w:rsid w:val="3F59CB77"/>
    <w:rsid w:val="40014297"/>
    <w:rsid w:val="402C2E42"/>
    <w:rsid w:val="40562243"/>
    <w:rsid w:val="405EB625"/>
    <w:rsid w:val="406E04E5"/>
    <w:rsid w:val="4163519B"/>
    <w:rsid w:val="41B9FDAC"/>
    <w:rsid w:val="41D50C08"/>
    <w:rsid w:val="426FE5E8"/>
    <w:rsid w:val="42CD39C0"/>
    <w:rsid w:val="432831D4"/>
    <w:rsid w:val="43A6292C"/>
    <w:rsid w:val="43C9D867"/>
    <w:rsid w:val="43CD4700"/>
    <w:rsid w:val="43EAB599"/>
    <w:rsid w:val="4427F81E"/>
    <w:rsid w:val="447A4F90"/>
    <w:rsid w:val="44B90199"/>
    <w:rsid w:val="452E0FBC"/>
    <w:rsid w:val="45573E22"/>
    <w:rsid w:val="45F98655"/>
    <w:rsid w:val="462A93FD"/>
    <w:rsid w:val="465CF9A5"/>
    <w:rsid w:val="466BF877"/>
    <w:rsid w:val="468FE240"/>
    <w:rsid w:val="4693C3AB"/>
    <w:rsid w:val="46A018A5"/>
    <w:rsid w:val="46CD7B6C"/>
    <w:rsid w:val="46CE35ED"/>
    <w:rsid w:val="46D63095"/>
    <w:rsid w:val="46DFC686"/>
    <w:rsid w:val="4740836E"/>
    <w:rsid w:val="47516166"/>
    <w:rsid w:val="4753F065"/>
    <w:rsid w:val="4754D394"/>
    <w:rsid w:val="475E4A67"/>
    <w:rsid w:val="478BF4A3"/>
    <w:rsid w:val="4792596F"/>
    <w:rsid w:val="47A11692"/>
    <w:rsid w:val="47C96873"/>
    <w:rsid w:val="48361CE5"/>
    <w:rsid w:val="48456643"/>
    <w:rsid w:val="4873D2AE"/>
    <w:rsid w:val="492F34A6"/>
    <w:rsid w:val="494EB5BA"/>
    <w:rsid w:val="4965993E"/>
    <w:rsid w:val="49959B39"/>
    <w:rsid w:val="49AE106E"/>
    <w:rsid w:val="49C7B341"/>
    <w:rsid w:val="49C89304"/>
    <w:rsid w:val="49E692ED"/>
    <w:rsid w:val="4A0E3928"/>
    <w:rsid w:val="4A280847"/>
    <w:rsid w:val="4A29A356"/>
    <w:rsid w:val="4A2B5B5B"/>
    <w:rsid w:val="4A7CA864"/>
    <w:rsid w:val="4A95F48C"/>
    <w:rsid w:val="4A9EE5AB"/>
    <w:rsid w:val="4AD27D68"/>
    <w:rsid w:val="4B22480E"/>
    <w:rsid w:val="4BC89EA0"/>
    <w:rsid w:val="4BEC3A14"/>
    <w:rsid w:val="4C370D0C"/>
    <w:rsid w:val="4C98D930"/>
    <w:rsid w:val="4CAB6169"/>
    <w:rsid w:val="4CB155F5"/>
    <w:rsid w:val="4CB4A509"/>
    <w:rsid w:val="4CC26573"/>
    <w:rsid w:val="4CDF08E9"/>
    <w:rsid w:val="4CEF07E6"/>
    <w:rsid w:val="4D0C517E"/>
    <w:rsid w:val="4D6AD574"/>
    <w:rsid w:val="4D75CD8F"/>
    <w:rsid w:val="4D8FFFD6"/>
    <w:rsid w:val="4DB5CCA8"/>
    <w:rsid w:val="4DD40AB0"/>
    <w:rsid w:val="4E0A7D67"/>
    <w:rsid w:val="4E27A244"/>
    <w:rsid w:val="4E33D1E3"/>
    <w:rsid w:val="4E39D5D8"/>
    <w:rsid w:val="4E615C61"/>
    <w:rsid w:val="4EF4D23C"/>
    <w:rsid w:val="4EFB137C"/>
    <w:rsid w:val="4F0CD85A"/>
    <w:rsid w:val="4F49CA15"/>
    <w:rsid w:val="4FAFA87C"/>
    <w:rsid w:val="4FB1CBEF"/>
    <w:rsid w:val="4FC5AC0C"/>
    <w:rsid w:val="4FD2F640"/>
    <w:rsid w:val="4FE3B0D3"/>
    <w:rsid w:val="4FE76234"/>
    <w:rsid w:val="4FFD34CE"/>
    <w:rsid w:val="500EF08B"/>
    <w:rsid w:val="502BB8FD"/>
    <w:rsid w:val="50310E5D"/>
    <w:rsid w:val="506B9CDE"/>
    <w:rsid w:val="506D5747"/>
    <w:rsid w:val="50BBE572"/>
    <w:rsid w:val="50CDD253"/>
    <w:rsid w:val="5107D626"/>
    <w:rsid w:val="510D524A"/>
    <w:rsid w:val="51212D62"/>
    <w:rsid w:val="514091F3"/>
    <w:rsid w:val="5189C4D9"/>
    <w:rsid w:val="51BFF400"/>
    <w:rsid w:val="51CB1CA7"/>
    <w:rsid w:val="52183E82"/>
    <w:rsid w:val="52210EB8"/>
    <w:rsid w:val="523691F6"/>
    <w:rsid w:val="52850281"/>
    <w:rsid w:val="528C7CAD"/>
    <w:rsid w:val="529CC63D"/>
    <w:rsid w:val="52E8BD01"/>
    <w:rsid w:val="52EF602E"/>
    <w:rsid w:val="52FF0182"/>
    <w:rsid w:val="531F2285"/>
    <w:rsid w:val="535A1F86"/>
    <w:rsid w:val="536D0CC5"/>
    <w:rsid w:val="53802DFB"/>
    <w:rsid w:val="53FE23CB"/>
    <w:rsid w:val="540B2357"/>
    <w:rsid w:val="54A559BC"/>
    <w:rsid w:val="54CF193B"/>
    <w:rsid w:val="54E27B44"/>
    <w:rsid w:val="54FD04EB"/>
    <w:rsid w:val="55628A37"/>
    <w:rsid w:val="55CC5B27"/>
    <w:rsid w:val="5654C085"/>
    <w:rsid w:val="56715A0C"/>
    <w:rsid w:val="567A3EF1"/>
    <w:rsid w:val="56847D78"/>
    <w:rsid w:val="568A49BA"/>
    <w:rsid w:val="56D539A8"/>
    <w:rsid w:val="56EAF531"/>
    <w:rsid w:val="56F4E684"/>
    <w:rsid w:val="575B97B7"/>
    <w:rsid w:val="57696590"/>
    <w:rsid w:val="5794E093"/>
    <w:rsid w:val="57BAF579"/>
    <w:rsid w:val="57CE1CE9"/>
    <w:rsid w:val="57FD2BC3"/>
    <w:rsid w:val="583BE09F"/>
    <w:rsid w:val="584951E7"/>
    <w:rsid w:val="584961FE"/>
    <w:rsid w:val="584D9E69"/>
    <w:rsid w:val="584F209D"/>
    <w:rsid w:val="58C0F510"/>
    <w:rsid w:val="58C2C946"/>
    <w:rsid w:val="58F11ACC"/>
    <w:rsid w:val="58FC66A9"/>
    <w:rsid w:val="5935270E"/>
    <w:rsid w:val="5950583A"/>
    <w:rsid w:val="59667C7C"/>
    <w:rsid w:val="59A1F5DF"/>
    <w:rsid w:val="59A22061"/>
    <w:rsid w:val="59A31DBB"/>
    <w:rsid w:val="5A293973"/>
    <w:rsid w:val="5A4423B4"/>
    <w:rsid w:val="5AD5DEFF"/>
    <w:rsid w:val="5AE27A13"/>
    <w:rsid w:val="5AF52686"/>
    <w:rsid w:val="5B3B6DA7"/>
    <w:rsid w:val="5B43BD11"/>
    <w:rsid w:val="5B4FD00B"/>
    <w:rsid w:val="5B504F50"/>
    <w:rsid w:val="5B6F0F8B"/>
    <w:rsid w:val="5BB60D17"/>
    <w:rsid w:val="5BC79C34"/>
    <w:rsid w:val="5BD49B84"/>
    <w:rsid w:val="5BFF56BF"/>
    <w:rsid w:val="5C0F5F3E"/>
    <w:rsid w:val="5C419B36"/>
    <w:rsid w:val="5CE35B49"/>
    <w:rsid w:val="5D0D5BF0"/>
    <w:rsid w:val="5D433451"/>
    <w:rsid w:val="5D493C5D"/>
    <w:rsid w:val="5D49CF5D"/>
    <w:rsid w:val="5D9D10BD"/>
    <w:rsid w:val="5E512E1F"/>
    <w:rsid w:val="5E7C6000"/>
    <w:rsid w:val="5EDEC6D2"/>
    <w:rsid w:val="5F0DC5C8"/>
    <w:rsid w:val="5F50ED42"/>
    <w:rsid w:val="5F57449A"/>
    <w:rsid w:val="5F71B248"/>
    <w:rsid w:val="5FA98FF7"/>
    <w:rsid w:val="60899FBF"/>
    <w:rsid w:val="60AF5C0D"/>
    <w:rsid w:val="60D48F79"/>
    <w:rsid w:val="60DDC919"/>
    <w:rsid w:val="60F88C32"/>
    <w:rsid w:val="610825AE"/>
    <w:rsid w:val="6125C60A"/>
    <w:rsid w:val="6169861C"/>
    <w:rsid w:val="61CDC0E9"/>
    <w:rsid w:val="62063901"/>
    <w:rsid w:val="623073AC"/>
    <w:rsid w:val="624B35F7"/>
    <w:rsid w:val="628ABDB6"/>
    <w:rsid w:val="62AAB946"/>
    <w:rsid w:val="62DA1F22"/>
    <w:rsid w:val="62E535DD"/>
    <w:rsid w:val="636E4D20"/>
    <w:rsid w:val="63DEED11"/>
    <w:rsid w:val="63F8B84F"/>
    <w:rsid w:val="6420B4DD"/>
    <w:rsid w:val="6448745C"/>
    <w:rsid w:val="644A5A94"/>
    <w:rsid w:val="64EB9410"/>
    <w:rsid w:val="64F72A56"/>
    <w:rsid w:val="656DBEF5"/>
    <w:rsid w:val="65CCAE1E"/>
    <w:rsid w:val="65D43C40"/>
    <w:rsid w:val="661369EC"/>
    <w:rsid w:val="6626E809"/>
    <w:rsid w:val="662E5127"/>
    <w:rsid w:val="66336FBA"/>
    <w:rsid w:val="66E2E607"/>
    <w:rsid w:val="6705DD37"/>
    <w:rsid w:val="6722512E"/>
    <w:rsid w:val="67316387"/>
    <w:rsid w:val="673DCB5D"/>
    <w:rsid w:val="67A3CCFA"/>
    <w:rsid w:val="67D6BE2D"/>
    <w:rsid w:val="67D72F58"/>
    <w:rsid w:val="67EC3835"/>
    <w:rsid w:val="67F5679E"/>
    <w:rsid w:val="67F63736"/>
    <w:rsid w:val="67F89B3B"/>
    <w:rsid w:val="682ABED8"/>
    <w:rsid w:val="682F53E6"/>
    <w:rsid w:val="6847FAA0"/>
    <w:rsid w:val="6857F86C"/>
    <w:rsid w:val="6887A53F"/>
    <w:rsid w:val="689E7C21"/>
    <w:rsid w:val="68AAA512"/>
    <w:rsid w:val="68F3E9A7"/>
    <w:rsid w:val="690B255F"/>
    <w:rsid w:val="69294B3B"/>
    <w:rsid w:val="69FE3563"/>
    <w:rsid w:val="6A784146"/>
    <w:rsid w:val="6A7F29B9"/>
    <w:rsid w:val="6AA11A1C"/>
    <w:rsid w:val="6AD83229"/>
    <w:rsid w:val="6ADC36D3"/>
    <w:rsid w:val="6ADF5CA9"/>
    <w:rsid w:val="6B1BC45A"/>
    <w:rsid w:val="6B2D3BA2"/>
    <w:rsid w:val="6B4BE437"/>
    <w:rsid w:val="6B66F6AE"/>
    <w:rsid w:val="6B672249"/>
    <w:rsid w:val="6B6CD93A"/>
    <w:rsid w:val="6BA9F6EC"/>
    <w:rsid w:val="6BCF17C4"/>
    <w:rsid w:val="6BD9D3F5"/>
    <w:rsid w:val="6BE3531E"/>
    <w:rsid w:val="6BE392AC"/>
    <w:rsid w:val="6BF1196F"/>
    <w:rsid w:val="6BF15C27"/>
    <w:rsid w:val="6C02ACF3"/>
    <w:rsid w:val="6C4167DB"/>
    <w:rsid w:val="6C9874CD"/>
    <w:rsid w:val="6CE620EC"/>
    <w:rsid w:val="6D4997D5"/>
    <w:rsid w:val="6D5A15E2"/>
    <w:rsid w:val="6DA43F11"/>
    <w:rsid w:val="6DACEE38"/>
    <w:rsid w:val="6DB40A97"/>
    <w:rsid w:val="6DDF7F25"/>
    <w:rsid w:val="6DEC17D7"/>
    <w:rsid w:val="6DFC65A4"/>
    <w:rsid w:val="6E0D4890"/>
    <w:rsid w:val="6E0E5C35"/>
    <w:rsid w:val="6E21F50D"/>
    <w:rsid w:val="6E4471E7"/>
    <w:rsid w:val="6E4832B4"/>
    <w:rsid w:val="6E68CDC6"/>
    <w:rsid w:val="6E79FF43"/>
    <w:rsid w:val="6EA6911E"/>
    <w:rsid w:val="6F2E879E"/>
    <w:rsid w:val="6F5F0901"/>
    <w:rsid w:val="701AAD1F"/>
    <w:rsid w:val="7023DEEB"/>
    <w:rsid w:val="7028D283"/>
    <w:rsid w:val="70331F27"/>
    <w:rsid w:val="70488CE3"/>
    <w:rsid w:val="7083BF4A"/>
    <w:rsid w:val="708CE01C"/>
    <w:rsid w:val="70E15C5B"/>
    <w:rsid w:val="7120726E"/>
    <w:rsid w:val="71400EE5"/>
    <w:rsid w:val="71576968"/>
    <w:rsid w:val="7161255D"/>
    <w:rsid w:val="7193475B"/>
    <w:rsid w:val="71B73A8B"/>
    <w:rsid w:val="7211C651"/>
    <w:rsid w:val="7215D145"/>
    <w:rsid w:val="72286007"/>
    <w:rsid w:val="722DF485"/>
    <w:rsid w:val="72B5A1AC"/>
    <w:rsid w:val="72D0473A"/>
    <w:rsid w:val="7303E7E8"/>
    <w:rsid w:val="73402494"/>
    <w:rsid w:val="735400E9"/>
    <w:rsid w:val="73716B9E"/>
    <w:rsid w:val="738A938A"/>
    <w:rsid w:val="738B0326"/>
    <w:rsid w:val="7392B7C6"/>
    <w:rsid w:val="73B3377E"/>
    <w:rsid w:val="73F8E3B9"/>
    <w:rsid w:val="7414CB1C"/>
    <w:rsid w:val="74570768"/>
    <w:rsid w:val="74836530"/>
    <w:rsid w:val="74B35279"/>
    <w:rsid w:val="74D3F640"/>
    <w:rsid w:val="74DC1665"/>
    <w:rsid w:val="75077571"/>
    <w:rsid w:val="7557046C"/>
    <w:rsid w:val="75984025"/>
    <w:rsid w:val="75A0369E"/>
    <w:rsid w:val="75D72A04"/>
    <w:rsid w:val="76070FE8"/>
    <w:rsid w:val="760F0B30"/>
    <w:rsid w:val="762640EE"/>
    <w:rsid w:val="762E4FED"/>
    <w:rsid w:val="76374140"/>
    <w:rsid w:val="7666FB05"/>
    <w:rsid w:val="767CC00F"/>
    <w:rsid w:val="76AF043B"/>
    <w:rsid w:val="76C3C89D"/>
    <w:rsid w:val="76DB4A48"/>
    <w:rsid w:val="76F41CE7"/>
    <w:rsid w:val="77050D7C"/>
    <w:rsid w:val="773232F8"/>
    <w:rsid w:val="773DFDB2"/>
    <w:rsid w:val="7764B4E8"/>
    <w:rsid w:val="776A25CA"/>
    <w:rsid w:val="779932DC"/>
    <w:rsid w:val="77CA0874"/>
    <w:rsid w:val="77E902EE"/>
    <w:rsid w:val="77F1A1FB"/>
    <w:rsid w:val="78029A0A"/>
    <w:rsid w:val="78362B27"/>
    <w:rsid w:val="78502B31"/>
    <w:rsid w:val="7866894D"/>
    <w:rsid w:val="787AA3AB"/>
    <w:rsid w:val="789D6A6F"/>
    <w:rsid w:val="78FFA01F"/>
    <w:rsid w:val="791A8062"/>
    <w:rsid w:val="791ED544"/>
    <w:rsid w:val="7952FF29"/>
    <w:rsid w:val="7985BA35"/>
    <w:rsid w:val="79C76F2F"/>
    <w:rsid w:val="7A1C9EEC"/>
    <w:rsid w:val="7A1F70A8"/>
    <w:rsid w:val="7A3A9387"/>
    <w:rsid w:val="7A50778B"/>
    <w:rsid w:val="7A6C5731"/>
    <w:rsid w:val="7A9C884E"/>
    <w:rsid w:val="7AA3FD62"/>
    <w:rsid w:val="7AA4FEF9"/>
    <w:rsid w:val="7AB6FC70"/>
    <w:rsid w:val="7B3147AD"/>
    <w:rsid w:val="7B3A8031"/>
    <w:rsid w:val="7B69DD0A"/>
    <w:rsid w:val="7B71E61E"/>
    <w:rsid w:val="7B769479"/>
    <w:rsid w:val="7BA99E0C"/>
    <w:rsid w:val="7BB3AA60"/>
    <w:rsid w:val="7BF01F3A"/>
    <w:rsid w:val="7BF575F2"/>
    <w:rsid w:val="7C1F0689"/>
    <w:rsid w:val="7C563301"/>
    <w:rsid w:val="7C9799DD"/>
    <w:rsid w:val="7CDA6526"/>
    <w:rsid w:val="7CF087DC"/>
    <w:rsid w:val="7D0BF7FA"/>
    <w:rsid w:val="7D0C913B"/>
    <w:rsid w:val="7D0D4040"/>
    <w:rsid w:val="7D2B9A1A"/>
    <w:rsid w:val="7D453962"/>
    <w:rsid w:val="7D63B3D3"/>
    <w:rsid w:val="7D6F6DC6"/>
    <w:rsid w:val="7DA6C420"/>
    <w:rsid w:val="7DC3CB8B"/>
    <w:rsid w:val="7DC9956F"/>
    <w:rsid w:val="7E29D331"/>
    <w:rsid w:val="7E8FBB26"/>
    <w:rsid w:val="7E9456E6"/>
    <w:rsid w:val="7ED93B99"/>
    <w:rsid w:val="7F28ADEA"/>
    <w:rsid w:val="7F50EAAE"/>
    <w:rsid w:val="7F868530"/>
    <w:rsid w:val="7FA4121F"/>
    <w:rsid w:val="7FADD0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DE68"/>
  <w15:chartTrackingRefBased/>
  <w15:docId w15:val="{A9BD374F-E362-4087-974E-161171BC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212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212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2124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2124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2124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2124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2124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2124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2124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2124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2124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2124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2124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2124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2124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2124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2124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21246"/>
    <w:rPr>
      <w:rFonts w:eastAsiaTheme="majorEastAsia" w:cstheme="majorBidi"/>
      <w:color w:val="272727" w:themeColor="text1" w:themeTint="D8"/>
    </w:rPr>
  </w:style>
  <w:style w:type="paragraph" w:styleId="Titre">
    <w:name w:val="Title"/>
    <w:basedOn w:val="Normal"/>
    <w:next w:val="Normal"/>
    <w:link w:val="TitreCar"/>
    <w:uiPriority w:val="10"/>
    <w:qFormat/>
    <w:rsid w:val="001212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2124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2124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2124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21246"/>
    <w:pPr>
      <w:spacing w:before="160"/>
      <w:jc w:val="center"/>
    </w:pPr>
    <w:rPr>
      <w:i/>
      <w:iCs/>
      <w:color w:val="404040" w:themeColor="text1" w:themeTint="BF"/>
    </w:rPr>
  </w:style>
  <w:style w:type="character" w:customStyle="1" w:styleId="CitationCar">
    <w:name w:val="Citation Car"/>
    <w:basedOn w:val="Policepardfaut"/>
    <w:link w:val="Citation"/>
    <w:uiPriority w:val="29"/>
    <w:rsid w:val="00121246"/>
    <w:rPr>
      <w:i/>
      <w:iCs/>
      <w:color w:val="404040" w:themeColor="text1" w:themeTint="BF"/>
    </w:rPr>
  </w:style>
  <w:style w:type="paragraph" w:styleId="Paragraphedeliste">
    <w:name w:val="List Paragraph"/>
    <w:basedOn w:val="Normal"/>
    <w:uiPriority w:val="34"/>
    <w:qFormat/>
    <w:rsid w:val="00121246"/>
    <w:pPr>
      <w:ind w:left="720"/>
      <w:contextualSpacing/>
    </w:pPr>
  </w:style>
  <w:style w:type="character" w:styleId="Accentuationintense">
    <w:name w:val="Intense Emphasis"/>
    <w:basedOn w:val="Policepardfaut"/>
    <w:uiPriority w:val="21"/>
    <w:qFormat/>
    <w:rsid w:val="00121246"/>
    <w:rPr>
      <w:i/>
      <w:iCs/>
      <w:color w:val="0F4761" w:themeColor="accent1" w:themeShade="BF"/>
    </w:rPr>
  </w:style>
  <w:style w:type="paragraph" w:styleId="Citationintense">
    <w:name w:val="Intense Quote"/>
    <w:basedOn w:val="Normal"/>
    <w:next w:val="Normal"/>
    <w:link w:val="CitationintenseCar"/>
    <w:uiPriority w:val="30"/>
    <w:qFormat/>
    <w:rsid w:val="00121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21246"/>
    <w:rPr>
      <w:i/>
      <w:iCs/>
      <w:color w:val="0F4761" w:themeColor="accent1" w:themeShade="BF"/>
    </w:rPr>
  </w:style>
  <w:style w:type="character" w:styleId="Rfrenceintense">
    <w:name w:val="Intense Reference"/>
    <w:basedOn w:val="Policepardfaut"/>
    <w:uiPriority w:val="32"/>
    <w:qFormat/>
    <w:rsid w:val="00121246"/>
    <w:rPr>
      <w:b/>
      <w:bCs/>
      <w:smallCaps/>
      <w:color w:val="0F4761" w:themeColor="accent1" w:themeShade="BF"/>
      <w:spacing w:val="5"/>
    </w:rPr>
  </w:style>
  <w:style w:type="character" w:styleId="Lienhypertexte">
    <w:name w:val="Hyperlink"/>
    <w:basedOn w:val="Policepardfaut"/>
    <w:uiPriority w:val="99"/>
    <w:unhideWhenUsed/>
    <w:rsid w:val="00363F12"/>
    <w:rPr>
      <w:color w:val="467886" w:themeColor="hyperlink"/>
      <w:u w:val="single"/>
    </w:rPr>
  </w:style>
  <w:style w:type="character" w:styleId="Mentionnonrsolue">
    <w:name w:val="Unresolved Mention"/>
    <w:basedOn w:val="Policepardfaut"/>
    <w:uiPriority w:val="99"/>
    <w:semiHidden/>
    <w:unhideWhenUsed/>
    <w:rsid w:val="00363F12"/>
    <w:rPr>
      <w:color w:val="605E5C"/>
      <w:shd w:val="clear" w:color="auto" w:fill="E1DFDD"/>
    </w:rPr>
  </w:style>
  <w:style w:type="character" w:styleId="Lienhypertextesuivivisit">
    <w:name w:val="FollowedHyperlink"/>
    <w:basedOn w:val="Policepardfaut"/>
    <w:uiPriority w:val="99"/>
    <w:semiHidden/>
    <w:unhideWhenUsed/>
    <w:rsid w:val="00363F12"/>
    <w:rPr>
      <w:color w:val="96607D" w:themeColor="followedHyperlink"/>
      <w:u w:val="single"/>
    </w:rPr>
  </w:style>
  <w:style w:type="paragraph" w:styleId="En-tte">
    <w:name w:val="header"/>
    <w:basedOn w:val="Normal"/>
    <w:uiPriority w:val="99"/>
    <w:unhideWhenUsed/>
    <w:rsid w:val="773DFDB2"/>
    <w:pPr>
      <w:tabs>
        <w:tab w:val="center" w:pos="4680"/>
        <w:tab w:val="right" w:pos="9360"/>
      </w:tabs>
      <w:spacing w:after="0" w:line="240" w:lineRule="auto"/>
    </w:pPr>
  </w:style>
  <w:style w:type="paragraph" w:styleId="Pieddepage">
    <w:name w:val="footer"/>
    <w:basedOn w:val="Normal"/>
    <w:uiPriority w:val="99"/>
    <w:unhideWhenUsed/>
    <w:rsid w:val="773DFDB2"/>
    <w:pPr>
      <w:tabs>
        <w:tab w:val="center" w:pos="4680"/>
        <w:tab w:val="right" w:pos="9360"/>
      </w:tabs>
      <w:spacing w:after="0" w:line="240" w:lineRule="auto"/>
    </w:p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vision">
    <w:name w:val="Revision"/>
    <w:hidden/>
    <w:uiPriority w:val="99"/>
    <w:semiHidden/>
    <w:rsid w:val="00350467"/>
    <w:pPr>
      <w:spacing w:after="0" w:line="240" w:lineRule="auto"/>
    </w:pPr>
  </w:style>
  <w:style w:type="paragraph" w:styleId="NormalWeb">
    <w:name w:val="Normal (Web)"/>
    <w:basedOn w:val="Normal"/>
    <w:uiPriority w:val="99"/>
    <w:semiHidden/>
    <w:unhideWhenUsed/>
    <w:rsid w:val="009F252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bc84ac-82b5-4086-9803-de2ab745bab8">
      <Terms xmlns="http://schemas.microsoft.com/office/infopath/2007/PartnerControls"/>
    </lcf76f155ced4ddcb4097134ff3c332f>
    <TaxCatchAll xmlns="dfc6b2b7-aad0-4cec-adeb-6cb3a9bf36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D80753ED3A23458C0DB604B2F4BCB6" ma:contentTypeVersion="18" ma:contentTypeDescription="Crée un document." ma:contentTypeScope="" ma:versionID="8f705f21986944016aae739b9c392ed7">
  <xsd:schema xmlns:xsd="http://www.w3.org/2001/XMLSchema" xmlns:xs="http://www.w3.org/2001/XMLSchema" xmlns:p="http://schemas.microsoft.com/office/2006/metadata/properties" xmlns:ns2="35bc84ac-82b5-4086-9803-de2ab745bab8" xmlns:ns3="dfc6b2b7-aad0-4cec-adeb-6cb3a9bf36ed" xmlns:ns4="d3024c99-71bf-4462-9ca4-f15ceed55869" targetNamespace="http://schemas.microsoft.com/office/2006/metadata/properties" ma:root="true" ma:fieldsID="4b58552c6a7e642011daed86b20bbda8" ns2:_="" ns3:_="" ns4:_="">
    <xsd:import namespace="35bc84ac-82b5-4086-9803-de2ab745bab8"/>
    <xsd:import namespace="dfc6b2b7-aad0-4cec-adeb-6cb3a9bf36ed"/>
    <xsd:import namespace="d3024c99-71bf-4462-9ca4-f15ceed558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c84ac-82b5-4086-9803-de2ab745b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e81caa28-ba27-47eb-bef5-3678884454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c6b2b7-aad0-4cec-adeb-6cb3a9bf36e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98476ec-9f03-404d-b594-f916da6a0cdc}" ma:internalName="TaxCatchAll" ma:showField="CatchAllData" ma:web="dfc6b2b7-aad0-4cec-adeb-6cb3a9bf36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024c99-71bf-4462-9ca4-f15ceed55869" elementFormDefault="qualified">
    <xsd:import namespace="http://schemas.microsoft.com/office/2006/documentManagement/types"/>
    <xsd:import namespace="http://schemas.microsoft.com/office/infopath/2007/PartnerControls"/>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F547D6-1A63-4040-9D77-B2F25740C293}">
  <ds:schemaRefs>
    <ds:schemaRef ds:uri="http://schemas.microsoft.com/office/2006/metadata/properties"/>
    <ds:schemaRef ds:uri="http://schemas.microsoft.com/office/infopath/2007/PartnerControls"/>
    <ds:schemaRef ds:uri="35bc84ac-82b5-4086-9803-de2ab745bab8"/>
    <ds:schemaRef ds:uri="dfc6b2b7-aad0-4cec-adeb-6cb3a9bf36ed"/>
  </ds:schemaRefs>
</ds:datastoreItem>
</file>

<file path=customXml/itemProps2.xml><?xml version="1.0" encoding="utf-8"?>
<ds:datastoreItem xmlns:ds="http://schemas.openxmlformats.org/officeDocument/2006/customXml" ds:itemID="{0FE1895E-A873-4E77-80B3-677F43EFF8E8}">
  <ds:schemaRefs>
    <ds:schemaRef ds:uri="http://schemas.microsoft.com/sharepoint/v3/contenttype/forms"/>
  </ds:schemaRefs>
</ds:datastoreItem>
</file>

<file path=customXml/itemProps3.xml><?xml version="1.0" encoding="utf-8"?>
<ds:datastoreItem xmlns:ds="http://schemas.openxmlformats.org/officeDocument/2006/customXml" ds:itemID="{DDBBF13D-5EA7-4E9D-81BE-54E7C1D9E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bc84ac-82b5-4086-9803-de2ab745bab8"/>
    <ds:schemaRef ds:uri="dfc6b2b7-aad0-4cec-adeb-6cb3a9bf36ed"/>
    <ds:schemaRef ds:uri="d3024c99-71bf-4462-9ca4-f15ceed55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2621</Words>
  <Characters>14418</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DIEHL - C&amp;J</dc:creator>
  <cp:keywords/>
  <dc:description/>
  <cp:lastModifiedBy>Stéphane LANDREAU</cp:lastModifiedBy>
  <cp:revision>4</cp:revision>
  <dcterms:created xsi:type="dcterms:W3CDTF">2026-09-16T08:25:00Z</dcterms:created>
  <dcterms:modified xsi:type="dcterms:W3CDTF">2026-09-16T09:30:00Z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0x0101007ED80753ED3A23458C0DB604B2F4BCB6</vt:lpwstr>
  </property>
  <property fmtid="{D5CDD505-2E9C-101B-9397-08002B2CF9AE}" pid="3" name="MediaServiceImageTags">
    <vt:lpwstr/>
  </property>
</Properties>
</file>